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Calibri" w:hAnsiTheme="minorHAnsi" w:cs="Times New Roman"/>
          <w:b w:val="0"/>
          <w:bCs w:val="0"/>
          <w:color w:val="auto"/>
          <w:sz w:val="22"/>
          <w:szCs w:val="22"/>
        </w:rPr>
        <w:id w:val="201892688"/>
        <w:docPartObj>
          <w:docPartGallery w:val="Table of Contents"/>
          <w:docPartUnique/>
        </w:docPartObj>
      </w:sdtPr>
      <w:sdtContent>
        <w:p w:rsidR="00FD70A1" w:rsidRPr="006B7B2E" w:rsidRDefault="00FD70A1" w:rsidP="006B7B2E">
          <w:pPr>
            <w:pStyle w:val="En-ttedetabledesmatires"/>
            <w:jc w:val="both"/>
            <w:rPr>
              <w:rFonts w:asciiTheme="minorHAnsi" w:hAnsiTheme="minorHAnsi"/>
            </w:rPr>
          </w:pPr>
          <w:r w:rsidRPr="006B7B2E">
            <w:rPr>
              <w:rFonts w:asciiTheme="minorHAnsi" w:hAnsiTheme="minorHAnsi"/>
            </w:rPr>
            <w:t>Sommaire</w:t>
          </w:r>
        </w:p>
        <w:p w:rsidR="00941BD5" w:rsidRPr="006B7B2E" w:rsidRDefault="00464254" w:rsidP="006B7B2E">
          <w:pPr>
            <w:pStyle w:val="TM1"/>
            <w:tabs>
              <w:tab w:val="left" w:pos="440"/>
              <w:tab w:val="right" w:leader="dot" w:pos="9736"/>
            </w:tabs>
            <w:rPr>
              <w:rFonts w:asciiTheme="minorHAnsi" w:eastAsiaTheme="minorEastAsia" w:hAnsiTheme="minorHAnsi" w:cstheme="minorBidi"/>
              <w:noProof/>
              <w:lang w:eastAsia="fr-FR"/>
            </w:rPr>
          </w:pPr>
          <w:r w:rsidRPr="006B7B2E">
            <w:rPr>
              <w:rFonts w:asciiTheme="minorHAnsi" w:hAnsiTheme="minorHAnsi"/>
            </w:rPr>
            <w:fldChar w:fldCharType="begin"/>
          </w:r>
          <w:r w:rsidR="00FD70A1" w:rsidRPr="006B7B2E">
            <w:rPr>
              <w:rFonts w:asciiTheme="minorHAnsi" w:hAnsiTheme="minorHAnsi"/>
            </w:rPr>
            <w:instrText xml:space="preserve"> TOC \o "1-3" \h \z \u </w:instrText>
          </w:r>
          <w:r w:rsidRPr="006B7B2E">
            <w:rPr>
              <w:rFonts w:asciiTheme="minorHAnsi" w:hAnsiTheme="minorHAnsi"/>
            </w:rPr>
            <w:fldChar w:fldCharType="separate"/>
          </w:r>
          <w:hyperlink w:anchor="_Toc463453624" w:history="1">
            <w:r w:rsidR="00941BD5" w:rsidRPr="006B7B2E">
              <w:rPr>
                <w:rStyle w:val="Lienhypertexte"/>
                <w:rFonts w:asciiTheme="minorHAnsi" w:eastAsia="Times New Roman" w:hAnsiTheme="minorHAnsi" w:cs="Arial"/>
                <w:b/>
                <w:noProof/>
                <w:lang w:eastAsia="fr-FR"/>
              </w:rPr>
              <w:t>1.</w:t>
            </w:r>
            <w:r w:rsidR="00941BD5" w:rsidRPr="006B7B2E">
              <w:rPr>
                <w:rFonts w:asciiTheme="minorHAnsi" w:eastAsiaTheme="minorEastAsia" w:hAnsiTheme="minorHAnsi" w:cstheme="minorBidi"/>
                <w:noProof/>
                <w:lang w:eastAsia="fr-FR"/>
              </w:rPr>
              <w:tab/>
            </w:r>
            <w:r w:rsidR="00941BD5" w:rsidRPr="006B7B2E">
              <w:rPr>
                <w:rStyle w:val="Lienhypertexte"/>
                <w:rFonts w:asciiTheme="minorHAnsi" w:eastAsia="Times New Roman" w:hAnsiTheme="minorHAnsi" w:cs="Arial"/>
                <w:b/>
                <w:noProof/>
                <w:lang w:eastAsia="fr-FR"/>
              </w:rPr>
              <w:t>Introduction :</w:t>
            </w:r>
            <w:r w:rsidR="00941BD5" w:rsidRPr="006B7B2E">
              <w:rPr>
                <w:rFonts w:asciiTheme="minorHAnsi" w:hAnsiTheme="minorHAnsi"/>
                <w:noProof/>
                <w:webHidden/>
              </w:rPr>
              <w:tab/>
            </w:r>
            <w:r w:rsidRPr="006B7B2E">
              <w:rPr>
                <w:rFonts w:asciiTheme="minorHAnsi" w:hAnsiTheme="minorHAnsi"/>
                <w:noProof/>
                <w:webHidden/>
              </w:rPr>
              <w:fldChar w:fldCharType="begin"/>
            </w:r>
            <w:r w:rsidR="00941BD5" w:rsidRPr="006B7B2E">
              <w:rPr>
                <w:rFonts w:asciiTheme="minorHAnsi" w:hAnsiTheme="minorHAnsi"/>
                <w:noProof/>
                <w:webHidden/>
              </w:rPr>
              <w:instrText xml:space="preserve"> PAGEREF _Toc463453624 \h </w:instrText>
            </w:r>
            <w:r w:rsidRPr="006B7B2E">
              <w:rPr>
                <w:rFonts w:asciiTheme="minorHAnsi" w:hAnsiTheme="minorHAnsi"/>
                <w:noProof/>
                <w:webHidden/>
              </w:rPr>
            </w:r>
            <w:r w:rsidRPr="006B7B2E">
              <w:rPr>
                <w:rFonts w:asciiTheme="minorHAnsi" w:hAnsiTheme="minorHAnsi"/>
                <w:noProof/>
                <w:webHidden/>
              </w:rPr>
              <w:fldChar w:fldCharType="separate"/>
            </w:r>
            <w:r w:rsidR="00941BD5" w:rsidRPr="006B7B2E">
              <w:rPr>
                <w:rFonts w:asciiTheme="minorHAnsi" w:hAnsiTheme="minorHAnsi"/>
                <w:noProof/>
                <w:webHidden/>
              </w:rPr>
              <w:t>2</w:t>
            </w:r>
            <w:r w:rsidRPr="006B7B2E">
              <w:rPr>
                <w:rFonts w:asciiTheme="minorHAnsi" w:hAnsiTheme="minorHAnsi"/>
                <w:noProof/>
                <w:webHidden/>
              </w:rPr>
              <w:fldChar w:fldCharType="end"/>
            </w:r>
          </w:hyperlink>
        </w:p>
        <w:p w:rsidR="00941BD5" w:rsidRPr="006B7B2E" w:rsidRDefault="00464254" w:rsidP="006B7B2E">
          <w:pPr>
            <w:pStyle w:val="TM1"/>
            <w:tabs>
              <w:tab w:val="left" w:pos="440"/>
              <w:tab w:val="right" w:leader="dot" w:pos="9736"/>
            </w:tabs>
            <w:rPr>
              <w:rFonts w:asciiTheme="minorHAnsi" w:eastAsiaTheme="minorEastAsia" w:hAnsiTheme="minorHAnsi" w:cstheme="minorBidi"/>
              <w:noProof/>
              <w:lang w:eastAsia="fr-FR"/>
            </w:rPr>
          </w:pPr>
          <w:hyperlink w:anchor="_Toc463453625" w:history="1">
            <w:r w:rsidR="00941BD5" w:rsidRPr="006B7B2E">
              <w:rPr>
                <w:rStyle w:val="Lienhypertexte"/>
                <w:rFonts w:asciiTheme="minorHAnsi" w:eastAsia="Times New Roman" w:hAnsiTheme="minorHAnsi" w:cs="Arial"/>
                <w:b/>
                <w:noProof/>
                <w:lang w:eastAsia="fr-FR"/>
              </w:rPr>
              <w:t>2.</w:t>
            </w:r>
            <w:r w:rsidR="00941BD5" w:rsidRPr="006B7B2E">
              <w:rPr>
                <w:rFonts w:asciiTheme="minorHAnsi" w:eastAsiaTheme="minorEastAsia" w:hAnsiTheme="minorHAnsi" w:cstheme="minorBidi"/>
                <w:noProof/>
                <w:lang w:eastAsia="fr-FR"/>
              </w:rPr>
              <w:tab/>
            </w:r>
            <w:r w:rsidR="00941BD5" w:rsidRPr="006B7B2E">
              <w:rPr>
                <w:rStyle w:val="Lienhypertexte"/>
                <w:rFonts w:asciiTheme="minorHAnsi" w:eastAsia="Times New Roman" w:hAnsiTheme="minorHAnsi" w:cs="Arial"/>
                <w:b/>
                <w:noProof/>
                <w:lang w:eastAsia="fr-FR"/>
              </w:rPr>
              <w:t>Illustration – aide à la lecture du tableau Excel :</w:t>
            </w:r>
            <w:r w:rsidR="00941BD5" w:rsidRPr="006B7B2E">
              <w:rPr>
                <w:rFonts w:asciiTheme="minorHAnsi" w:hAnsiTheme="minorHAnsi"/>
                <w:noProof/>
                <w:webHidden/>
              </w:rPr>
              <w:tab/>
            </w:r>
            <w:r w:rsidRPr="006B7B2E">
              <w:rPr>
                <w:rFonts w:asciiTheme="minorHAnsi" w:hAnsiTheme="minorHAnsi"/>
                <w:noProof/>
                <w:webHidden/>
              </w:rPr>
              <w:fldChar w:fldCharType="begin"/>
            </w:r>
            <w:r w:rsidR="00941BD5" w:rsidRPr="006B7B2E">
              <w:rPr>
                <w:rFonts w:asciiTheme="minorHAnsi" w:hAnsiTheme="minorHAnsi"/>
                <w:noProof/>
                <w:webHidden/>
              </w:rPr>
              <w:instrText xml:space="preserve"> PAGEREF _Toc463453625 \h </w:instrText>
            </w:r>
            <w:r w:rsidRPr="006B7B2E">
              <w:rPr>
                <w:rFonts w:asciiTheme="minorHAnsi" w:hAnsiTheme="minorHAnsi"/>
                <w:noProof/>
                <w:webHidden/>
              </w:rPr>
            </w:r>
            <w:r w:rsidRPr="006B7B2E">
              <w:rPr>
                <w:rFonts w:asciiTheme="minorHAnsi" w:hAnsiTheme="minorHAnsi"/>
                <w:noProof/>
                <w:webHidden/>
              </w:rPr>
              <w:fldChar w:fldCharType="separate"/>
            </w:r>
            <w:r w:rsidR="00941BD5" w:rsidRPr="006B7B2E">
              <w:rPr>
                <w:rFonts w:asciiTheme="minorHAnsi" w:hAnsiTheme="minorHAnsi"/>
                <w:noProof/>
                <w:webHidden/>
              </w:rPr>
              <w:t>3</w:t>
            </w:r>
            <w:r w:rsidRPr="006B7B2E">
              <w:rPr>
                <w:rFonts w:asciiTheme="minorHAnsi" w:hAnsiTheme="minorHAnsi"/>
                <w:noProof/>
                <w:webHidden/>
              </w:rPr>
              <w:fldChar w:fldCharType="end"/>
            </w:r>
          </w:hyperlink>
        </w:p>
        <w:p w:rsidR="00FD70A1" w:rsidRPr="006B7B2E" w:rsidRDefault="00464254" w:rsidP="006B7B2E">
          <w:pPr>
            <w:rPr>
              <w:rFonts w:asciiTheme="minorHAnsi" w:hAnsiTheme="minorHAnsi"/>
            </w:rPr>
          </w:pPr>
          <w:r w:rsidRPr="006B7B2E">
            <w:rPr>
              <w:rFonts w:asciiTheme="minorHAnsi" w:hAnsiTheme="minorHAnsi"/>
            </w:rPr>
            <w:fldChar w:fldCharType="end"/>
          </w:r>
        </w:p>
      </w:sdtContent>
    </w:sdt>
    <w:p w:rsidR="00FD70A1" w:rsidRPr="006B7B2E" w:rsidRDefault="00FD70A1" w:rsidP="006B7B2E">
      <w:pPr>
        <w:pStyle w:val="Standard"/>
        <w:spacing w:before="28" w:after="28" w:line="240" w:lineRule="auto"/>
        <w:rPr>
          <w:rFonts w:asciiTheme="minorHAnsi" w:eastAsia="Times New Roman" w:hAnsiTheme="minorHAnsi" w:cs="Arial"/>
          <w:b/>
          <w:color w:val="1F497D" w:themeColor="text2"/>
          <w:sz w:val="24"/>
          <w:u w:val="single"/>
          <w:lang w:eastAsia="fr-FR"/>
        </w:rPr>
      </w:pPr>
    </w:p>
    <w:p w:rsidR="00FD70A1" w:rsidRPr="006B7B2E" w:rsidRDefault="00FD70A1" w:rsidP="006B7B2E">
      <w:pPr>
        <w:spacing w:after="200" w:line="276" w:lineRule="auto"/>
        <w:rPr>
          <w:rFonts w:asciiTheme="minorHAnsi" w:eastAsia="Times New Roman" w:hAnsiTheme="minorHAnsi" w:cs="Arial"/>
          <w:b/>
          <w:color w:val="1F497D" w:themeColor="text2"/>
          <w:kern w:val="3"/>
          <w:sz w:val="24"/>
          <w:u w:val="single"/>
          <w:lang w:eastAsia="fr-FR"/>
        </w:rPr>
      </w:pPr>
      <w:r w:rsidRPr="006B7B2E">
        <w:rPr>
          <w:rFonts w:asciiTheme="minorHAnsi" w:eastAsia="Times New Roman" w:hAnsiTheme="minorHAnsi" w:cs="Arial"/>
          <w:b/>
          <w:color w:val="1F497D" w:themeColor="text2"/>
          <w:sz w:val="24"/>
          <w:u w:val="single"/>
          <w:lang w:eastAsia="fr-FR"/>
        </w:rPr>
        <w:br w:type="page"/>
      </w:r>
    </w:p>
    <w:p w:rsidR="007C124E" w:rsidRPr="006B7B2E" w:rsidRDefault="007C124E" w:rsidP="006B7B2E">
      <w:pPr>
        <w:pStyle w:val="Standard"/>
        <w:numPr>
          <w:ilvl w:val="0"/>
          <w:numId w:val="7"/>
        </w:numPr>
        <w:spacing w:before="28" w:after="28" w:line="240" w:lineRule="auto"/>
        <w:outlineLvl w:val="0"/>
        <w:rPr>
          <w:rFonts w:asciiTheme="minorHAnsi" w:eastAsia="Times New Roman" w:hAnsiTheme="minorHAnsi" w:cs="Arial"/>
          <w:b/>
          <w:sz w:val="24"/>
          <w:u w:val="single"/>
          <w:lang w:eastAsia="fr-FR"/>
        </w:rPr>
      </w:pPr>
      <w:bookmarkStart w:id="0" w:name="_Toc463453624"/>
      <w:r w:rsidRPr="006B7B2E">
        <w:rPr>
          <w:rFonts w:asciiTheme="minorHAnsi" w:eastAsia="Times New Roman" w:hAnsiTheme="minorHAnsi" w:cs="Arial"/>
          <w:b/>
          <w:sz w:val="24"/>
          <w:u w:val="single"/>
          <w:lang w:eastAsia="fr-FR"/>
        </w:rPr>
        <w:lastRenderedPageBreak/>
        <w:t>Introduction :</w:t>
      </w:r>
      <w:bookmarkEnd w:id="0"/>
    </w:p>
    <w:p w:rsidR="007C124E" w:rsidRPr="006B7B2E" w:rsidRDefault="007C124E" w:rsidP="006B7B2E">
      <w:pPr>
        <w:pStyle w:val="Standard"/>
        <w:spacing w:before="28" w:after="28" w:line="240" w:lineRule="auto"/>
        <w:rPr>
          <w:rFonts w:asciiTheme="minorHAnsi" w:eastAsia="Times New Roman" w:hAnsiTheme="minorHAnsi" w:cs="Arial"/>
          <w:sz w:val="24"/>
          <w:lang w:eastAsia="fr-FR"/>
        </w:rPr>
      </w:pPr>
    </w:p>
    <w:p w:rsidR="00190759" w:rsidRPr="006B7B2E" w:rsidRDefault="00190759" w:rsidP="006B7B2E">
      <w:pPr>
        <w:rPr>
          <w:rFonts w:asciiTheme="minorHAnsi" w:hAnsiTheme="minorHAnsi"/>
        </w:rPr>
      </w:pPr>
      <w:r w:rsidRPr="006B7B2E">
        <w:rPr>
          <w:rFonts w:asciiTheme="minorHAnsi" w:hAnsiTheme="minorHAnsi"/>
        </w:rPr>
        <w:t xml:space="preserve">La déclaration des cotisations à la maille individuelle repose sur le renseignement de tout ou partie des blocs suivants : </w:t>
      </w:r>
    </w:p>
    <w:p w:rsidR="00190759" w:rsidRPr="006B7B2E" w:rsidRDefault="00190759" w:rsidP="006B7B2E">
      <w:pPr>
        <w:pStyle w:val="Paragraphedeliste"/>
        <w:numPr>
          <w:ilvl w:val="0"/>
          <w:numId w:val="6"/>
        </w:numPr>
        <w:rPr>
          <w:rFonts w:asciiTheme="minorHAnsi" w:hAnsiTheme="minorHAnsi"/>
        </w:rPr>
      </w:pPr>
      <w:r w:rsidRPr="006B7B2E">
        <w:rPr>
          <w:rFonts w:asciiTheme="minorHAnsi" w:hAnsiTheme="minorHAnsi"/>
        </w:rPr>
        <w:t>« </w:t>
      </w:r>
      <w:r w:rsidRPr="006B7B2E">
        <w:rPr>
          <w:rFonts w:asciiTheme="minorHAnsi" w:hAnsiTheme="minorHAnsi"/>
          <w:iCs/>
        </w:rPr>
        <w:t xml:space="preserve">Base assujettie - </w:t>
      </w:r>
      <w:r w:rsidRPr="006B7B2E">
        <w:rPr>
          <w:rFonts w:asciiTheme="minorHAnsi" w:hAnsiTheme="minorHAnsi"/>
          <w:bCs/>
        </w:rPr>
        <w:t>S21.G00.78 »</w:t>
      </w:r>
    </w:p>
    <w:p w:rsidR="00190759" w:rsidRPr="006B7B2E" w:rsidRDefault="00190759" w:rsidP="006B7B2E">
      <w:pPr>
        <w:pStyle w:val="Paragraphedeliste"/>
        <w:numPr>
          <w:ilvl w:val="0"/>
          <w:numId w:val="6"/>
        </w:numPr>
        <w:rPr>
          <w:rFonts w:asciiTheme="minorHAnsi" w:hAnsiTheme="minorHAnsi"/>
          <w:bCs/>
        </w:rPr>
      </w:pPr>
      <w:r w:rsidRPr="006B7B2E">
        <w:rPr>
          <w:rFonts w:asciiTheme="minorHAnsi" w:hAnsiTheme="minorHAnsi"/>
        </w:rPr>
        <w:t>« </w:t>
      </w:r>
      <w:r w:rsidRPr="006B7B2E">
        <w:rPr>
          <w:rFonts w:asciiTheme="minorHAnsi" w:hAnsiTheme="minorHAnsi"/>
          <w:iCs/>
        </w:rPr>
        <w:t>Composant de base assujettie</w:t>
      </w:r>
      <w:r w:rsidRPr="006B7B2E">
        <w:rPr>
          <w:rFonts w:asciiTheme="minorHAnsi" w:hAnsiTheme="minorHAnsi"/>
          <w:i/>
          <w:iCs/>
        </w:rPr>
        <w:t xml:space="preserve"> - </w:t>
      </w:r>
      <w:r w:rsidRPr="006B7B2E">
        <w:rPr>
          <w:rFonts w:asciiTheme="minorHAnsi" w:hAnsiTheme="minorHAnsi"/>
          <w:bCs/>
        </w:rPr>
        <w:t>S21.G00.79 »</w:t>
      </w:r>
    </w:p>
    <w:p w:rsidR="00190759" w:rsidRPr="006B7B2E" w:rsidRDefault="00190759" w:rsidP="006B7B2E">
      <w:pPr>
        <w:pStyle w:val="Paragraphedeliste"/>
        <w:numPr>
          <w:ilvl w:val="0"/>
          <w:numId w:val="6"/>
        </w:numPr>
        <w:rPr>
          <w:rFonts w:asciiTheme="minorHAnsi" w:hAnsiTheme="minorHAnsi"/>
        </w:rPr>
      </w:pPr>
      <w:r w:rsidRPr="006B7B2E">
        <w:rPr>
          <w:rFonts w:asciiTheme="minorHAnsi" w:hAnsiTheme="minorHAnsi"/>
        </w:rPr>
        <w:t>« </w:t>
      </w:r>
      <w:r w:rsidRPr="006B7B2E">
        <w:rPr>
          <w:rFonts w:asciiTheme="minorHAnsi" w:hAnsiTheme="minorHAnsi"/>
          <w:iCs/>
        </w:rPr>
        <w:t>Cotisation individuelle</w:t>
      </w:r>
      <w:r w:rsidRPr="006B7B2E">
        <w:rPr>
          <w:rFonts w:asciiTheme="minorHAnsi" w:hAnsiTheme="minorHAnsi"/>
          <w:i/>
          <w:iCs/>
        </w:rPr>
        <w:t xml:space="preserve"> - </w:t>
      </w:r>
      <w:r w:rsidRPr="006B7B2E">
        <w:rPr>
          <w:rFonts w:asciiTheme="minorHAnsi" w:hAnsiTheme="minorHAnsi"/>
          <w:bCs/>
        </w:rPr>
        <w:t>S21.G00.81 »</w:t>
      </w:r>
    </w:p>
    <w:p w:rsidR="00190759" w:rsidRPr="006B7B2E" w:rsidRDefault="00190759" w:rsidP="006B7B2E">
      <w:pPr>
        <w:rPr>
          <w:rFonts w:asciiTheme="minorHAnsi" w:hAnsiTheme="minorHAnsi"/>
        </w:rPr>
      </w:pPr>
      <w:r w:rsidRPr="006B7B2E">
        <w:rPr>
          <w:rFonts w:asciiTheme="minorHAnsi" w:hAnsiTheme="minorHAnsi"/>
        </w:rPr>
        <w:t>Pour rappel, dans le message DSN les blocs « </w:t>
      </w:r>
      <w:r w:rsidRPr="006B7B2E">
        <w:rPr>
          <w:rFonts w:asciiTheme="minorHAnsi" w:hAnsiTheme="minorHAnsi"/>
          <w:iCs/>
        </w:rPr>
        <w:t>Composant de base assujettie</w:t>
      </w:r>
      <w:r w:rsidRPr="006B7B2E">
        <w:rPr>
          <w:rFonts w:asciiTheme="minorHAnsi" w:hAnsiTheme="minorHAnsi"/>
          <w:i/>
          <w:iCs/>
        </w:rPr>
        <w:t xml:space="preserve"> - </w:t>
      </w:r>
      <w:r w:rsidRPr="006B7B2E">
        <w:rPr>
          <w:rFonts w:asciiTheme="minorHAnsi" w:hAnsiTheme="minorHAnsi"/>
          <w:bCs/>
        </w:rPr>
        <w:t xml:space="preserve">S21.G00.79 » et </w:t>
      </w:r>
      <w:r w:rsidRPr="006B7B2E">
        <w:rPr>
          <w:rFonts w:asciiTheme="minorHAnsi" w:hAnsiTheme="minorHAnsi"/>
        </w:rPr>
        <w:t>« </w:t>
      </w:r>
      <w:r w:rsidRPr="006B7B2E">
        <w:rPr>
          <w:rFonts w:asciiTheme="minorHAnsi" w:hAnsiTheme="minorHAnsi"/>
          <w:iCs/>
        </w:rPr>
        <w:t>Cotisation individuelle</w:t>
      </w:r>
      <w:r w:rsidRPr="006B7B2E">
        <w:rPr>
          <w:rFonts w:asciiTheme="minorHAnsi" w:hAnsiTheme="minorHAnsi"/>
          <w:i/>
          <w:iCs/>
        </w:rPr>
        <w:t xml:space="preserve"> - </w:t>
      </w:r>
      <w:r w:rsidRPr="006B7B2E">
        <w:rPr>
          <w:rFonts w:asciiTheme="minorHAnsi" w:hAnsiTheme="minorHAnsi"/>
          <w:bCs/>
        </w:rPr>
        <w:t xml:space="preserve">S21.G00.81 » sont « enfants » d’un bloc </w:t>
      </w:r>
      <w:r w:rsidRPr="006B7B2E">
        <w:rPr>
          <w:rFonts w:asciiTheme="minorHAnsi" w:hAnsiTheme="minorHAnsi"/>
        </w:rPr>
        <w:t>« </w:t>
      </w:r>
      <w:r w:rsidRPr="006B7B2E">
        <w:rPr>
          <w:rFonts w:asciiTheme="minorHAnsi" w:hAnsiTheme="minorHAnsi"/>
          <w:iCs/>
        </w:rPr>
        <w:t xml:space="preserve">Base assujettie - </w:t>
      </w:r>
      <w:r w:rsidRPr="006B7B2E">
        <w:rPr>
          <w:rFonts w:asciiTheme="minorHAnsi" w:hAnsiTheme="minorHAnsi"/>
          <w:bCs/>
        </w:rPr>
        <w:t>S21.G00.78 ».</w:t>
      </w:r>
    </w:p>
    <w:p w:rsidR="00190759" w:rsidRPr="006B7B2E" w:rsidRDefault="007D211C" w:rsidP="006B7B2E">
      <w:pPr>
        <w:rPr>
          <w:rFonts w:asciiTheme="minorHAnsi" w:hAnsiTheme="minorHAnsi"/>
        </w:rPr>
      </w:pPr>
      <w:r w:rsidRPr="006B7B2E">
        <w:rPr>
          <w:rFonts w:asciiTheme="minorHAnsi" w:hAnsiTheme="minorHAnsi"/>
        </w:rPr>
        <w:t>Les règles de rattachement d’un bloc 79 ou 81 sous un bloc 78 ont, dans la majorité des cas, une justification métier en ce sens que le calcul de la cotisation individuelle repose sur une base assujettie spécifique. De même, la déclaration d’un composant de base assujettie est généralement liée à la présence d’une base assujettie et/ ou d’une cotisation individuelle.</w:t>
      </w:r>
    </w:p>
    <w:p w:rsidR="00190759" w:rsidRPr="006B7B2E" w:rsidRDefault="00190759" w:rsidP="006B7B2E">
      <w:pPr>
        <w:rPr>
          <w:rFonts w:asciiTheme="minorHAnsi" w:hAnsiTheme="minorHAnsi"/>
        </w:rPr>
      </w:pPr>
      <w:r w:rsidRPr="006B7B2E">
        <w:rPr>
          <w:rFonts w:asciiTheme="minorHAnsi" w:hAnsiTheme="minorHAnsi"/>
        </w:rPr>
        <w:t xml:space="preserve">Ce document recense les combinaisons de blocs </w:t>
      </w:r>
      <w:r w:rsidR="007D211C" w:rsidRPr="006B7B2E">
        <w:rPr>
          <w:rFonts w:asciiTheme="minorHAnsi" w:hAnsiTheme="minorHAnsi"/>
        </w:rPr>
        <w:t>78, 79 et 81 telles qu’attendues par les organismes suivants, en charge du recouvrement de cotisations sociales</w:t>
      </w:r>
      <w:r w:rsidR="006B7B2E" w:rsidRPr="006B7B2E">
        <w:rPr>
          <w:rFonts w:asciiTheme="minorHAnsi" w:hAnsiTheme="minorHAnsi"/>
        </w:rPr>
        <w:t> :</w:t>
      </w:r>
    </w:p>
    <w:p w:rsidR="007C124E" w:rsidRPr="006B7B2E" w:rsidRDefault="007C124E" w:rsidP="006B7B2E">
      <w:pPr>
        <w:pStyle w:val="Paragraphedeliste"/>
        <w:numPr>
          <w:ilvl w:val="0"/>
          <w:numId w:val="6"/>
        </w:numPr>
        <w:rPr>
          <w:rFonts w:asciiTheme="minorHAnsi" w:hAnsiTheme="minorHAnsi"/>
        </w:rPr>
      </w:pPr>
      <w:r w:rsidRPr="006B7B2E">
        <w:rPr>
          <w:rFonts w:asciiTheme="minorHAnsi" w:hAnsiTheme="minorHAnsi"/>
        </w:rPr>
        <w:t>ACOSS</w:t>
      </w:r>
    </w:p>
    <w:p w:rsidR="007C124E" w:rsidRPr="006B7B2E" w:rsidRDefault="007C124E" w:rsidP="006B7B2E">
      <w:pPr>
        <w:pStyle w:val="Paragraphedeliste"/>
        <w:numPr>
          <w:ilvl w:val="0"/>
          <w:numId w:val="6"/>
        </w:numPr>
        <w:rPr>
          <w:rFonts w:asciiTheme="minorHAnsi" w:hAnsiTheme="minorHAnsi"/>
        </w:rPr>
      </w:pPr>
      <w:r w:rsidRPr="006B7B2E">
        <w:rPr>
          <w:rFonts w:asciiTheme="minorHAnsi" w:hAnsiTheme="minorHAnsi"/>
        </w:rPr>
        <w:t>MSA</w:t>
      </w:r>
    </w:p>
    <w:p w:rsidR="007C124E" w:rsidRPr="006B7B2E" w:rsidRDefault="007C124E" w:rsidP="006B7B2E">
      <w:pPr>
        <w:pStyle w:val="Paragraphedeliste"/>
        <w:numPr>
          <w:ilvl w:val="0"/>
          <w:numId w:val="6"/>
        </w:numPr>
        <w:rPr>
          <w:rFonts w:asciiTheme="minorHAnsi" w:hAnsiTheme="minorHAnsi"/>
        </w:rPr>
      </w:pPr>
      <w:r w:rsidRPr="006B7B2E">
        <w:rPr>
          <w:rFonts w:asciiTheme="minorHAnsi" w:hAnsiTheme="minorHAnsi"/>
        </w:rPr>
        <w:t>AGIRC-ARRCO</w:t>
      </w:r>
    </w:p>
    <w:p w:rsidR="007C124E" w:rsidRPr="006B7B2E" w:rsidRDefault="007C124E" w:rsidP="006B7B2E">
      <w:pPr>
        <w:pStyle w:val="Paragraphedeliste"/>
        <w:numPr>
          <w:ilvl w:val="0"/>
          <w:numId w:val="6"/>
        </w:numPr>
        <w:rPr>
          <w:rFonts w:asciiTheme="minorHAnsi" w:hAnsiTheme="minorHAnsi"/>
        </w:rPr>
      </w:pPr>
      <w:r w:rsidRPr="006B7B2E">
        <w:rPr>
          <w:rFonts w:asciiTheme="minorHAnsi" w:hAnsiTheme="minorHAnsi"/>
        </w:rPr>
        <w:t>Organismes Complémentaires</w:t>
      </w:r>
    </w:p>
    <w:p w:rsidR="007C124E" w:rsidRPr="006B7B2E" w:rsidRDefault="007C124E" w:rsidP="006B7B2E">
      <w:pPr>
        <w:pStyle w:val="Paragraphedeliste"/>
        <w:numPr>
          <w:ilvl w:val="0"/>
          <w:numId w:val="6"/>
        </w:numPr>
        <w:rPr>
          <w:rFonts w:asciiTheme="minorHAnsi" w:hAnsiTheme="minorHAnsi"/>
        </w:rPr>
      </w:pPr>
      <w:r w:rsidRPr="006B7B2E">
        <w:rPr>
          <w:rFonts w:asciiTheme="minorHAnsi" w:hAnsiTheme="minorHAnsi"/>
        </w:rPr>
        <w:t>CRPNPAC</w:t>
      </w:r>
    </w:p>
    <w:p w:rsidR="007C124E" w:rsidRPr="006B7B2E" w:rsidRDefault="007C124E" w:rsidP="006B7B2E">
      <w:pPr>
        <w:pStyle w:val="Paragraphedeliste"/>
        <w:numPr>
          <w:ilvl w:val="0"/>
          <w:numId w:val="6"/>
        </w:numPr>
        <w:rPr>
          <w:rFonts w:asciiTheme="minorHAnsi" w:hAnsiTheme="minorHAnsi"/>
        </w:rPr>
      </w:pPr>
      <w:r w:rsidRPr="006B7B2E">
        <w:rPr>
          <w:rFonts w:asciiTheme="minorHAnsi" w:hAnsiTheme="minorHAnsi"/>
        </w:rPr>
        <w:t>CNIEG</w:t>
      </w:r>
    </w:p>
    <w:p w:rsidR="007C124E" w:rsidRPr="006B7B2E" w:rsidRDefault="007C124E" w:rsidP="006B7B2E">
      <w:pPr>
        <w:pStyle w:val="Paragraphedeliste"/>
        <w:numPr>
          <w:ilvl w:val="0"/>
          <w:numId w:val="6"/>
        </w:numPr>
        <w:rPr>
          <w:rFonts w:asciiTheme="minorHAnsi" w:hAnsiTheme="minorHAnsi"/>
        </w:rPr>
      </w:pPr>
      <w:r w:rsidRPr="006B7B2E">
        <w:rPr>
          <w:rFonts w:asciiTheme="minorHAnsi" w:hAnsiTheme="minorHAnsi"/>
        </w:rPr>
        <w:t>CAMIEG</w:t>
      </w:r>
    </w:p>
    <w:p w:rsidR="007D211C" w:rsidRPr="006B7B2E" w:rsidRDefault="007C124E" w:rsidP="006B7B2E">
      <w:pPr>
        <w:pStyle w:val="Paragraphedeliste"/>
        <w:numPr>
          <w:ilvl w:val="0"/>
          <w:numId w:val="6"/>
        </w:numPr>
        <w:rPr>
          <w:rFonts w:asciiTheme="minorHAnsi" w:hAnsiTheme="minorHAnsi"/>
        </w:rPr>
      </w:pPr>
      <w:r w:rsidRPr="006B7B2E">
        <w:rPr>
          <w:rFonts w:asciiTheme="minorHAnsi" w:hAnsiTheme="minorHAnsi"/>
        </w:rPr>
        <w:t>Caisse de congés spectacle (</w:t>
      </w:r>
      <w:proofErr w:type="spellStart"/>
      <w:r w:rsidRPr="006B7B2E">
        <w:rPr>
          <w:rFonts w:asciiTheme="minorHAnsi" w:hAnsiTheme="minorHAnsi"/>
        </w:rPr>
        <w:t>Audiens</w:t>
      </w:r>
      <w:proofErr w:type="spellEnd"/>
      <w:r w:rsidRPr="006B7B2E">
        <w:rPr>
          <w:rFonts w:asciiTheme="minorHAnsi" w:hAnsiTheme="minorHAnsi"/>
        </w:rPr>
        <w:t>)</w:t>
      </w:r>
    </w:p>
    <w:p w:rsidR="00BC4CB1" w:rsidRPr="006B7B2E" w:rsidRDefault="00BC4CB1" w:rsidP="006B7B2E">
      <w:pPr>
        <w:pStyle w:val="Paragraphedeliste"/>
        <w:numPr>
          <w:ilvl w:val="0"/>
          <w:numId w:val="6"/>
        </w:numPr>
        <w:rPr>
          <w:rFonts w:asciiTheme="minorHAnsi" w:hAnsiTheme="minorHAnsi"/>
        </w:rPr>
      </w:pPr>
      <w:r w:rsidRPr="006B7B2E">
        <w:rPr>
          <w:rFonts w:asciiTheme="minorHAnsi" w:hAnsiTheme="minorHAnsi"/>
        </w:rPr>
        <w:t>DGFIP</w:t>
      </w:r>
    </w:p>
    <w:p w:rsidR="00BC4CB1" w:rsidRPr="006B7B2E" w:rsidRDefault="00BC4CB1" w:rsidP="006B7B2E">
      <w:pPr>
        <w:pStyle w:val="Paragraphedeliste"/>
        <w:numPr>
          <w:ilvl w:val="0"/>
          <w:numId w:val="6"/>
        </w:numPr>
        <w:rPr>
          <w:rFonts w:asciiTheme="minorHAnsi" w:hAnsiTheme="minorHAnsi"/>
        </w:rPr>
      </w:pPr>
      <w:r w:rsidRPr="006B7B2E">
        <w:rPr>
          <w:rFonts w:asciiTheme="minorHAnsi" w:hAnsiTheme="minorHAnsi"/>
        </w:rPr>
        <w:t>IRCANTEC</w:t>
      </w:r>
    </w:p>
    <w:p w:rsidR="001A7183" w:rsidRPr="006B7B2E" w:rsidRDefault="003A16FE" w:rsidP="006B7B2E">
      <w:pPr>
        <w:pStyle w:val="Standard"/>
        <w:rPr>
          <w:rFonts w:asciiTheme="minorHAnsi" w:hAnsiTheme="minorHAnsi"/>
        </w:rPr>
      </w:pPr>
      <w:r w:rsidRPr="006B7B2E">
        <w:rPr>
          <w:rFonts w:asciiTheme="minorHAnsi" w:hAnsiTheme="minorHAnsi"/>
        </w:rPr>
        <w:t>Les combinaisons présentées sont harmonisées entre les différents organismes en ce sens qu’il ne peut être demandé de rattacher une même cotisation ou composant de base assujettie à des bases assujetties de nature</w:t>
      </w:r>
      <w:r w:rsidR="006B7B2E" w:rsidRPr="006B7B2E">
        <w:rPr>
          <w:rFonts w:asciiTheme="minorHAnsi" w:hAnsiTheme="minorHAnsi"/>
        </w:rPr>
        <w:t>s</w:t>
      </w:r>
      <w:r w:rsidRPr="006B7B2E">
        <w:rPr>
          <w:rFonts w:asciiTheme="minorHAnsi" w:hAnsiTheme="minorHAnsi"/>
        </w:rPr>
        <w:t xml:space="preserve"> dif</w:t>
      </w:r>
      <w:r w:rsidR="006B7B2E" w:rsidRPr="006B7B2E">
        <w:rPr>
          <w:rFonts w:asciiTheme="minorHAnsi" w:hAnsiTheme="minorHAnsi"/>
        </w:rPr>
        <w:t>férentes selon le destinataire.</w:t>
      </w:r>
    </w:p>
    <w:p w:rsidR="003A16FE" w:rsidRPr="006B7B2E" w:rsidRDefault="006B7B2E" w:rsidP="006B7B2E">
      <w:pPr>
        <w:pStyle w:val="Standard"/>
        <w:rPr>
          <w:rFonts w:asciiTheme="minorHAnsi" w:hAnsiTheme="minorHAnsi"/>
        </w:rPr>
      </w:pPr>
      <w:r w:rsidRPr="006B7B2E">
        <w:rPr>
          <w:rFonts w:asciiTheme="minorHAnsi" w:hAnsiTheme="minorHAnsi"/>
        </w:rPr>
        <w:t>Aussi</w:t>
      </w:r>
      <w:r w:rsidR="003A16FE" w:rsidRPr="006B7B2E">
        <w:rPr>
          <w:rFonts w:asciiTheme="minorHAnsi" w:hAnsiTheme="minorHAnsi"/>
        </w:rPr>
        <w:t>, il convient de noter :</w:t>
      </w:r>
    </w:p>
    <w:p w:rsidR="006B7B2E" w:rsidRPr="006B7B2E" w:rsidRDefault="004E0D3A" w:rsidP="006B7B2E">
      <w:pPr>
        <w:pStyle w:val="Standard"/>
        <w:numPr>
          <w:ilvl w:val="0"/>
          <w:numId w:val="6"/>
        </w:numPr>
        <w:rPr>
          <w:rFonts w:asciiTheme="minorHAnsi" w:hAnsiTheme="minorHAnsi"/>
        </w:rPr>
      </w:pPr>
      <w:r w:rsidRPr="006B7B2E">
        <w:rPr>
          <w:rFonts w:asciiTheme="minorHAnsi" w:hAnsiTheme="minorHAnsi"/>
        </w:rPr>
        <w:t>Sur le périmètre de cotisation</w:t>
      </w:r>
      <w:r w:rsidR="006B7B2E" w:rsidRPr="006B7B2E">
        <w:rPr>
          <w:rFonts w:asciiTheme="minorHAnsi" w:hAnsiTheme="minorHAnsi"/>
        </w:rPr>
        <w:t>s</w:t>
      </w:r>
      <w:r w:rsidRPr="006B7B2E">
        <w:rPr>
          <w:rFonts w:asciiTheme="minorHAnsi" w:hAnsiTheme="minorHAnsi"/>
        </w:rPr>
        <w:t xml:space="preserve"> commun </w:t>
      </w:r>
      <w:r w:rsidR="006B7B2E" w:rsidRPr="006B7B2E">
        <w:rPr>
          <w:rFonts w:asciiTheme="minorHAnsi" w:hAnsiTheme="minorHAnsi"/>
        </w:rPr>
        <w:t>à</w:t>
      </w:r>
      <w:r w:rsidRPr="006B7B2E">
        <w:rPr>
          <w:rFonts w:asciiTheme="minorHAnsi" w:hAnsiTheme="minorHAnsi"/>
        </w:rPr>
        <w:t xml:space="preserve"> l’ACOSS et la MSA, les combinaisons 78/79/81 sont identiques</w:t>
      </w:r>
      <w:r w:rsidR="00BF66F0" w:rsidRPr="006B7B2E">
        <w:rPr>
          <w:rFonts w:asciiTheme="minorHAnsi" w:hAnsiTheme="minorHAnsi"/>
        </w:rPr>
        <w:t xml:space="preserve">. </w:t>
      </w:r>
    </w:p>
    <w:p w:rsidR="006B7B2E" w:rsidRPr="006B7B2E" w:rsidRDefault="006B7B2E" w:rsidP="006B7B2E">
      <w:pPr>
        <w:pStyle w:val="Standard"/>
        <w:numPr>
          <w:ilvl w:val="0"/>
          <w:numId w:val="6"/>
        </w:numPr>
        <w:rPr>
          <w:rFonts w:asciiTheme="minorHAnsi" w:hAnsiTheme="minorHAnsi"/>
        </w:rPr>
      </w:pPr>
      <w:r w:rsidRPr="006B7B2E">
        <w:rPr>
          <w:rFonts w:asciiTheme="minorHAnsi" w:hAnsiTheme="minorHAnsi"/>
        </w:rPr>
        <w:t>Concernant les cotisations de retraite complémentaire recouvrées par la MSA et l’AGIRC-ARRCO, il convient de noter que les combinaisons 78/79/81 sont strictement identiques. L’attendu de l’AGIRC-ARRCO s’imposant à la MSA.</w:t>
      </w:r>
    </w:p>
    <w:p w:rsidR="006B7B2E" w:rsidRPr="006B7B2E" w:rsidRDefault="006B7B2E" w:rsidP="006B7B2E">
      <w:pPr>
        <w:pStyle w:val="Standard"/>
        <w:numPr>
          <w:ilvl w:val="0"/>
          <w:numId w:val="6"/>
        </w:numPr>
        <w:rPr>
          <w:rFonts w:asciiTheme="minorHAnsi" w:hAnsiTheme="minorHAnsi"/>
        </w:rPr>
      </w:pPr>
      <w:r w:rsidRPr="006B7B2E">
        <w:rPr>
          <w:rFonts w:asciiTheme="minorHAnsi" w:hAnsiTheme="minorHAnsi"/>
        </w:rPr>
        <w:t>Il en est de même concernant l’attendu des OC qui s’impose à la MSA lorsque celle-ci opère le recouvrement de cotisations prévoyance.</w:t>
      </w:r>
    </w:p>
    <w:p w:rsidR="006B7B2E" w:rsidRPr="006B7B2E" w:rsidRDefault="006B7B2E" w:rsidP="006B7B2E">
      <w:pPr>
        <w:pStyle w:val="Standard"/>
        <w:rPr>
          <w:rFonts w:asciiTheme="minorHAnsi" w:hAnsiTheme="minorHAnsi"/>
          <w:b/>
          <w:u w:val="single"/>
        </w:rPr>
      </w:pPr>
    </w:p>
    <w:p w:rsidR="003A16FE" w:rsidRPr="006B7B2E" w:rsidRDefault="003A16FE" w:rsidP="006B7B2E">
      <w:pPr>
        <w:pStyle w:val="Standard"/>
        <w:rPr>
          <w:rFonts w:asciiTheme="minorHAnsi" w:hAnsiTheme="minorHAnsi"/>
          <w:b/>
        </w:rPr>
      </w:pPr>
      <w:r w:rsidRPr="006B7B2E">
        <w:rPr>
          <w:rFonts w:asciiTheme="minorHAnsi" w:hAnsiTheme="minorHAnsi"/>
          <w:b/>
          <w:u w:val="single"/>
        </w:rPr>
        <w:lastRenderedPageBreak/>
        <w:t>Points d’attention</w:t>
      </w:r>
      <w:r w:rsidRPr="006B7B2E">
        <w:rPr>
          <w:rFonts w:asciiTheme="minorHAnsi" w:hAnsiTheme="minorHAnsi"/>
          <w:b/>
        </w:rPr>
        <w:t xml:space="preserve"> : </w:t>
      </w:r>
    </w:p>
    <w:p w:rsidR="003A16FE" w:rsidRPr="006B7B2E" w:rsidRDefault="003A16FE" w:rsidP="006B7B2E">
      <w:pPr>
        <w:rPr>
          <w:rFonts w:asciiTheme="minorHAnsi" w:hAnsiTheme="minorHAnsi"/>
        </w:rPr>
      </w:pPr>
      <w:r w:rsidRPr="006B7B2E">
        <w:rPr>
          <w:rFonts w:asciiTheme="minorHAnsi" w:hAnsiTheme="minorHAnsi"/>
        </w:rPr>
        <w:t>NB : les règles attendues par la CRPCEN seront ajoutées prochainement dans ce document. </w:t>
      </w:r>
    </w:p>
    <w:p w:rsidR="00FD70A1" w:rsidRPr="006B7B2E" w:rsidRDefault="00FD70A1" w:rsidP="006B7B2E">
      <w:pPr>
        <w:pStyle w:val="Standard"/>
        <w:rPr>
          <w:rFonts w:asciiTheme="minorHAnsi" w:hAnsiTheme="minorHAnsi"/>
          <w:b/>
          <w:sz w:val="24"/>
          <w:szCs w:val="24"/>
          <w:u w:val="single"/>
        </w:rPr>
      </w:pPr>
    </w:p>
    <w:p w:rsidR="003A16FE" w:rsidRPr="006B7B2E" w:rsidRDefault="001A7183" w:rsidP="006B7B2E">
      <w:pPr>
        <w:pStyle w:val="Standard"/>
        <w:numPr>
          <w:ilvl w:val="0"/>
          <w:numId w:val="7"/>
        </w:numPr>
        <w:spacing w:before="28" w:after="28" w:line="240" w:lineRule="auto"/>
        <w:outlineLvl w:val="0"/>
        <w:rPr>
          <w:rFonts w:asciiTheme="minorHAnsi" w:eastAsia="Times New Roman" w:hAnsiTheme="minorHAnsi" w:cs="Arial"/>
          <w:b/>
          <w:sz w:val="24"/>
          <w:u w:val="single"/>
          <w:lang w:eastAsia="fr-FR"/>
        </w:rPr>
      </w:pPr>
      <w:bookmarkStart w:id="1" w:name="_Toc463453625"/>
      <w:r w:rsidRPr="006B7B2E">
        <w:rPr>
          <w:rFonts w:asciiTheme="minorHAnsi" w:eastAsia="Times New Roman" w:hAnsiTheme="minorHAnsi" w:cs="Arial"/>
          <w:b/>
          <w:sz w:val="24"/>
          <w:u w:val="single"/>
          <w:lang w:eastAsia="fr-FR"/>
        </w:rPr>
        <w:t>Illustration – aide à la lecture du tableau Excel</w:t>
      </w:r>
      <w:bookmarkEnd w:id="1"/>
    </w:p>
    <w:p w:rsidR="006B7B2E" w:rsidRPr="006B7B2E" w:rsidRDefault="006B7B2E" w:rsidP="006B7B2E">
      <w:pPr>
        <w:pStyle w:val="Standard"/>
        <w:spacing w:before="28" w:after="28" w:line="240" w:lineRule="auto"/>
        <w:ind w:left="720"/>
        <w:outlineLvl w:val="0"/>
        <w:rPr>
          <w:rFonts w:asciiTheme="minorHAnsi" w:eastAsia="Times New Roman" w:hAnsiTheme="minorHAnsi" w:cs="Arial"/>
          <w:b/>
          <w:sz w:val="24"/>
          <w:u w:val="single"/>
          <w:lang w:eastAsia="fr-FR"/>
        </w:rPr>
      </w:pPr>
    </w:p>
    <w:p w:rsidR="007C124E" w:rsidRPr="006B7B2E" w:rsidRDefault="001104A2" w:rsidP="006B7B2E">
      <w:pPr>
        <w:pStyle w:val="Standard"/>
        <w:rPr>
          <w:rFonts w:asciiTheme="minorHAnsi" w:hAnsiTheme="minorHAnsi"/>
          <w:sz w:val="24"/>
          <w:szCs w:val="24"/>
        </w:rPr>
      </w:pPr>
      <w:r w:rsidRPr="006B7B2E">
        <w:rPr>
          <w:rFonts w:asciiTheme="minorHAnsi" w:hAnsiTheme="minorHAnsi"/>
          <w:sz w:val="24"/>
          <w:szCs w:val="24"/>
          <w:u w:val="single"/>
        </w:rPr>
        <w:t>E</w:t>
      </w:r>
      <w:r w:rsidR="007C124E" w:rsidRPr="006B7B2E">
        <w:rPr>
          <w:rFonts w:asciiTheme="minorHAnsi" w:hAnsiTheme="minorHAnsi"/>
          <w:sz w:val="24"/>
          <w:szCs w:val="24"/>
          <w:u w:val="single"/>
        </w:rPr>
        <w:t>xemple </w:t>
      </w:r>
      <w:r w:rsidR="00A72668" w:rsidRPr="006B7B2E">
        <w:rPr>
          <w:rFonts w:asciiTheme="minorHAnsi" w:hAnsiTheme="minorHAnsi"/>
          <w:sz w:val="24"/>
          <w:szCs w:val="24"/>
          <w:u w:val="single"/>
        </w:rPr>
        <w:t>1</w:t>
      </w:r>
      <w:r w:rsidR="00A72668" w:rsidRPr="006B7B2E">
        <w:rPr>
          <w:rFonts w:asciiTheme="minorHAnsi" w:hAnsiTheme="minorHAnsi"/>
          <w:sz w:val="24"/>
          <w:szCs w:val="24"/>
        </w:rPr>
        <w:t> : R</w:t>
      </w:r>
      <w:r w:rsidRPr="006B7B2E">
        <w:rPr>
          <w:rFonts w:asciiTheme="minorHAnsi" w:hAnsiTheme="minorHAnsi"/>
          <w:sz w:val="24"/>
          <w:szCs w:val="24"/>
        </w:rPr>
        <w:t>éduction Fillon :</w:t>
      </w:r>
    </w:p>
    <w:p w:rsidR="004D2E21" w:rsidRPr="006B7B2E" w:rsidRDefault="004D2E21" w:rsidP="006B7B2E">
      <w:pPr>
        <w:autoSpaceDE w:val="0"/>
        <w:autoSpaceDN w:val="0"/>
        <w:adjustRightInd w:val="0"/>
        <w:spacing w:after="0"/>
        <w:rPr>
          <w:rFonts w:asciiTheme="minorHAnsi" w:hAnsiTheme="minorHAnsi"/>
        </w:rPr>
      </w:pPr>
      <w:r w:rsidRPr="006B7B2E">
        <w:rPr>
          <w:rFonts w:asciiTheme="minorHAnsi" w:hAnsiTheme="minorHAnsi"/>
        </w:rPr>
        <w:t xml:space="preserve">En cas de déclaration d’une « Réduction générale des cotisations patronales de sécurité sociale », la MSA et l’ACOSS attendent les éléments suivants en DSN : </w:t>
      </w:r>
    </w:p>
    <w:p w:rsidR="004D2E21" w:rsidRPr="006B7B2E" w:rsidRDefault="004D2E21" w:rsidP="006B7B2E">
      <w:pPr>
        <w:autoSpaceDE w:val="0"/>
        <w:autoSpaceDN w:val="0"/>
        <w:adjustRightInd w:val="0"/>
        <w:spacing w:after="0"/>
        <w:rPr>
          <w:rFonts w:asciiTheme="minorHAnsi" w:hAnsiTheme="minorHAnsi"/>
        </w:rPr>
      </w:pPr>
    </w:p>
    <w:p w:rsidR="004D2E21" w:rsidRPr="006B7B2E" w:rsidRDefault="004D2E21" w:rsidP="006B7B2E">
      <w:pPr>
        <w:spacing w:after="60"/>
        <w:rPr>
          <w:rFonts w:asciiTheme="minorHAnsi" w:hAnsiTheme="minorHAnsi"/>
        </w:rPr>
      </w:pPr>
      <w:r w:rsidRPr="006B7B2E">
        <w:rPr>
          <w:rFonts w:asciiTheme="minorHAnsi" w:hAnsiTheme="minorHAnsi"/>
        </w:rPr>
        <w:t xml:space="preserve">Un bloc « Base assujettie - S21.G00.78 » dont la rubrique « Code de base assujettie – S21.G00.78.001 » est valorisée à </w:t>
      </w:r>
      <w:r w:rsidRPr="006B7B2E">
        <w:rPr>
          <w:rFonts w:asciiTheme="minorHAnsi" w:hAnsiTheme="minorHAnsi"/>
          <w:b/>
          <w:u w:val="single"/>
        </w:rPr>
        <w:t>03 - Assiette brute déplafonnée</w:t>
      </w:r>
    </w:p>
    <w:p w:rsidR="009F30AA" w:rsidRPr="006B7B2E" w:rsidRDefault="009F30AA" w:rsidP="006B7B2E">
      <w:pPr>
        <w:spacing w:before="120" w:after="60"/>
        <w:rPr>
          <w:rFonts w:asciiTheme="minorHAnsi" w:hAnsiTheme="minorHAnsi"/>
          <w:i/>
        </w:rPr>
      </w:pPr>
    </w:p>
    <w:p w:rsidR="004D2E21" w:rsidRPr="006B7B2E" w:rsidRDefault="009F30AA" w:rsidP="006B7B2E">
      <w:pPr>
        <w:spacing w:before="120" w:after="60"/>
        <w:rPr>
          <w:rFonts w:asciiTheme="minorHAnsi" w:hAnsiTheme="minorHAnsi"/>
          <w:i/>
        </w:rPr>
      </w:pPr>
      <w:r w:rsidRPr="006B7B2E">
        <w:rPr>
          <w:rFonts w:asciiTheme="minorHAnsi" w:hAnsiTheme="minorHAnsi"/>
          <w:i/>
        </w:rPr>
        <w:t xml:space="preserve">Auquel sont rattachés les deux blocs suivants : </w:t>
      </w:r>
    </w:p>
    <w:p w:rsidR="009F30AA" w:rsidRPr="006B7B2E" w:rsidRDefault="009F30AA" w:rsidP="006B7B2E">
      <w:pPr>
        <w:spacing w:before="120" w:after="60"/>
        <w:rPr>
          <w:rFonts w:asciiTheme="minorHAnsi" w:hAnsiTheme="minorHAnsi"/>
          <w:i/>
        </w:rPr>
      </w:pPr>
    </w:p>
    <w:p w:rsidR="004D2E21" w:rsidRPr="006B7B2E" w:rsidRDefault="009F30AA" w:rsidP="006B7B2E">
      <w:pPr>
        <w:spacing w:before="120" w:after="60"/>
        <w:ind w:left="708"/>
        <w:rPr>
          <w:rFonts w:asciiTheme="minorHAnsi" w:eastAsiaTheme="minorHAnsi" w:hAnsiTheme="minorHAnsi"/>
          <w:b/>
        </w:rPr>
      </w:pPr>
      <w:r w:rsidRPr="006B7B2E">
        <w:rPr>
          <w:rFonts w:asciiTheme="minorHAnsi" w:hAnsiTheme="minorHAnsi"/>
        </w:rPr>
        <w:t xml:space="preserve">Un bloc « Composant de base assujettie - </w:t>
      </w:r>
      <w:r w:rsidR="004D2E21" w:rsidRPr="006B7B2E">
        <w:rPr>
          <w:rFonts w:asciiTheme="minorHAnsi" w:hAnsiTheme="minorHAnsi"/>
        </w:rPr>
        <w:t>S21.G00.79</w:t>
      </w:r>
      <w:r w:rsidRPr="006B7B2E">
        <w:rPr>
          <w:rFonts w:asciiTheme="minorHAnsi" w:hAnsiTheme="minorHAnsi"/>
        </w:rPr>
        <w:t xml:space="preserve"> » dont la rubrique « Type de composant de base assujettie – S21.G00.79.001 » est </w:t>
      </w:r>
      <w:proofErr w:type="gramStart"/>
      <w:r w:rsidRPr="006B7B2E">
        <w:rPr>
          <w:rFonts w:asciiTheme="minorHAnsi" w:hAnsiTheme="minorHAnsi"/>
        </w:rPr>
        <w:t>renseignée</w:t>
      </w:r>
      <w:proofErr w:type="gramEnd"/>
      <w:r w:rsidRPr="006B7B2E">
        <w:rPr>
          <w:rFonts w:asciiTheme="minorHAnsi" w:hAnsiTheme="minorHAnsi"/>
        </w:rPr>
        <w:t xml:space="preserve"> à </w:t>
      </w:r>
      <w:r w:rsidRPr="009A62C5">
        <w:rPr>
          <w:rFonts w:asciiTheme="minorHAnsi" w:hAnsiTheme="minorHAnsi"/>
          <w:u w:val="single"/>
        </w:rPr>
        <w:t>« </w:t>
      </w:r>
      <w:r w:rsidR="004D2E21" w:rsidRPr="009A62C5">
        <w:rPr>
          <w:rFonts w:asciiTheme="minorHAnsi" w:hAnsiTheme="minorHAnsi"/>
          <w:b/>
          <w:u w:val="single"/>
        </w:rPr>
        <w:t xml:space="preserve">01 - </w:t>
      </w:r>
      <w:r w:rsidR="004D2E21" w:rsidRPr="009A62C5">
        <w:rPr>
          <w:rFonts w:asciiTheme="minorHAnsi" w:eastAsiaTheme="minorHAnsi" w:hAnsiTheme="minorHAnsi"/>
          <w:b/>
          <w:u w:val="single"/>
        </w:rPr>
        <w:t>Montant du SMIC retenu pour le calcul de la Réduction générale des cotisations patronales de sécurité sociale</w:t>
      </w:r>
      <w:r w:rsidRPr="009A62C5">
        <w:rPr>
          <w:rFonts w:asciiTheme="minorHAnsi" w:eastAsiaTheme="minorHAnsi" w:hAnsiTheme="minorHAnsi"/>
          <w:b/>
          <w:u w:val="single"/>
        </w:rPr>
        <w:t> »</w:t>
      </w:r>
    </w:p>
    <w:p w:rsidR="004D2E21" w:rsidRPr="006B7B2E" w:rsidRDefault="009F30AA" w:rsidP="006B7B2E">
      <w:pPr>
        <w:spacing w:before="120" w:after="60"/>
        <w:ind w:left="708"/>
        <w:rPr>
          <w:rFonts w:asciiTheme="minorHAnsi" w:hAnsiTheme="minorHAnsi"/>
        </w:rPr>
      </w:pPr>
      <w:r w:rsidRPr="006B7B2E">
        <w:rPr>
          <w:rFonts w:asciiTheme="minorHAnsi" w:eastAsiaTheme="minorHAnsi" w:hAnsiTheme="minorHAnsi"/>
        </w:rPr>
        <w:t>Un bloc « </w:t>
      </w:r>
      <w:r w:rsidRPr="006B7B2E">
        <w:rPr>
          <w:rFonts w:asciiTheme="minorHAnsi" w:hAnsiTheme="minorHAnsi"/>
        </w:rPr>
        <w:t>Cotisation individuelle -</w:t>
      </w:r>
      <w:r w:rsidR="004D2E21" w:rsidRPr="006B7B2E">
        <w:rPr>
          <w:rFonts w:asciiTheme="minorHAnsi" w:hAnsiTheme="minorHAnsi"/>
        </w:rPr>
        <w:t xml:space="preserve"> S21.G00.81</w:t>
      </w:r>
      <w:r w:rsidRPr="006B7B2E">
        <w:rPr>
          <w:rFonts w:asciiTheme="minorHAnsi" w:hAnsiTheme="minorHAnsi"/>
        </w:rPr>
        <w:t xml:space="preserve"> » dont la rubrique « Code de cotisation – S21.G00.81.001 » est renseignée à </w:t>
      </w:r>
      <w:r w:rsidR="004D2E21" w:rsidRPr="006B7B2E">
        <w:rPr>
          <w:rFonts w:asciiTheme="minorHAnsi" w:hAnsiTheme="minorHAnsi"/>
        </w:rPr>
        <w:t xml:space="preserve"> </w:t>
      </w:r>
      <w:r w:rsidRPr="006B7B2E">
        <w:rPr>
          <w:rFonts w:asciiTheme="minorHAnsi" w:hAnsiTheme="minorHAnsi"/>
          <w:b/>
          <w:u w:val="single"/>
        </w:rPr>
        <w:t>« </w:t>
      </w:r>
      <w:r w:rsidR="004D2E21" w:rsidRPr="006B7B2E">
        <w:rPr>
          <w:rFonts w:asciiTheme="minorHAnsi" w:hAnsiTheme="minorHAnsi"/>
          <w:b/>
          <w:u w:val="single"/>
        </w:rPr>
        <w:t>018 - Réduction générale des cotisations patronales de sécurité sociale</w:t>
      </w:r>
      <w:r w:rsidRPr="006B7B2E">
        <w:rPr>
          <w:rFonts w:asciiTheme="minorHAnsi" w:hAnsiTheme="minorHAnsi"/>
          <w:b/>
          <w:u w:val="single"/>
        </w:rPr>
        <w:t> »</w:t>
      </w:r>
    </w:p>
    <w:p w:rsidR="004D2E21" w:rsidRPr="006B7B2E" w:rsidRDefault="004D2E21" w:rsidP="006B7B2E">
      <w:pPr>
        <w:autoSpaceDE w:val="0"/>
        <w:autoSpaceDN w:val="0"/>
        <w:adjustRightInd w:val="0"/>
        <w:spacing w:after="0"/>
        <w:rPr>
          <w:rFonts w:asciiTheme="minorHAnsi" w:hAnsiTheme="minorHAnsi"/>
        </w:rPr>
      </w:pPr>
    </w:p>
    <w:p w:rsidR="009F30AA" w:rsidRPr="006B7B2E" w:rsidRDefault="009F30AA" w:rsidP="006B7B2E">
      <w:pPr>
        <w:autoSpaceDE w:val="0"/>
        <w:autoSpaceDN w:val="0"/>
        <w:adjustRightInd w:val="0"/>
        <w:spacing w:after="0"/>
        <w:rPr>
          <w:rFonts w:asciiTheme="minorHAnsi" w:hAnsiTheme="minorHAnsi"/>
        </w:rPr>
      </w:pPr>
    </w:p>
    <w:p w:rsidR="009F30AA" w:rsidRPr="006B7B2E" w:rsidRDefault="00A72668" w:rsidP="006B7B2E">
      <w:pPr>
        <w:pStyle w:val="Standard"/>
        <w:rPr>
          <w:rFonts w:asciiTheme="minorHAnsi" w:hAnsiTheme="minorHAnsi"/>
          <w:sz w:val="24"/>
          <w:szCs w:val="24"/>
        </w:rPr>
      </w:pPr>
      <w:r w:rsidRPr="006B7B2E">
        <w:rPr>
          <w:rFonts w:asciiTheme="minorHAnsi" w:hAnsiTheme="minorHAnsi"/>
          <w:sz w:val="24"/>
          <w:szCs w:val="24"/>
          <w:u w:val="single"/>
        </w:rPr>
        <w:t>Exemple 2</w:t>
      </w:r>
      <w:r w:rsidRPr="006B7B2E">
        <w:rPr>
          <w:rFonts w:asciiTheme="minorHAnsi" w:hAnsiTheme="minorHAnsi"/>
          <w:sz w:val="24"/>
          <w:szCs w:val="24"/>
        </w:rPr>
        <w:t> : Exonération de cotisations au titre de l'emploi d'un salarié en contrat d'accès à l'emploi</w:t>
      </w:r>
    </w:p>
    <w:p w:rsidR="00A72668" w:rsidRPr="006B7B2E" w:rsidRDefault="00A72668" w:rsidP="006B7B2E">
      <w:pPr>
        <w:autoSpaceDE w:val="0"/>
        <w:autoSpaceDN w:val="0"/>
        <w:adjustRightInd w:val="0"/>
        <w:spacing w:after="0"/>
        <w:rPr>
          <w:rFonts w:asciiTheme="minorHAnsi" w:hAnsiTheme="minorHAnsi"/>
        </w:rPr>
      </w:pPr>
      <w:r w:rsidRPr="006B7B2E">
        <w:rPr>
          <w:rFonts w:asciiTheme="minorHAnsi" w:hAnsiTheme="minorHAnsi"/>
        </w:rPr>
        <w:t xml:space="preserve">La déclaration de cette exonération, à destination de l’ACOSS ou de la MSA est à opérée de la manière suivante : </w:t>
      </w:r>
    </w:p>
    <w:p w:rsidR="00A72668" w:rsidRPr="006B7B2E" w:rsidRDefault="00A72668" w:rsidP="006B7B2E">
      <w:pPr>
        <w:autoSpaceDE w:val="0"/>
        <w:autoSpaceDN w:val="0"/>
        <w:adjustRightInd w:val="0"/>
        <w:spacing w:after="0"/>
        <w:rPr>
          <w:rFonts w:asciiTheme="minorHAnsi" w:hAnsiTheme="minorHAnsi"/>
        </w:rPr>
      </w:pPr>
    </w:p>
    <w:p w:rsidR="00A72668" w:rsidRPr="006B7B2E" w:rsidRDefault="00A72668" w:rsidP="006B7B2E">
      <w:pPr>
        <w:spacing w:after="60"/>
        <w:rPr>
          <w:rFonts w:asciiTheme="minorHAnsi" w:hAnsiTheme="minorHAnsi"/>
        </w:rPr>
      </w:pPr>
      <w:r w:rsidRPr="006B7B2E">
        <w:rPr>
          <w:rFonts w:asciiTheme="minorHAnsi" w:hAnsiTheme="minorHAnsi"/>
        </w:rPr>
        <w:t xml:space="preserve">Un bloc « Base assujettie - S21.G00.78 » dont la rubrique « Code de base assujettie – S21.G00.78.001 » est valorisée à </w:t>
      </w:r>
      <w:r w:rsidRPr="006B7B2E">
        <w:rPr>
          <w:rFonts w:asciiTheme="minorHAnsi" w:hAnsiTheme="minorHAnsi"/>
          <w:b/>
          <w:u w:val="single"/>
        </w:rPr>
        <w:t>03 - Assiette brute déplafonnée</w:t>
      </w:r>
    </w:p>
    <w:p w:rsidR="00A72668" w:rsidRPr="006B7B2E" w:rsidRDefault="00A72668" w:rsidP="006B7B2E">
      <w:pPr>
        <w:autoSpaceDE w:val="0"/>
        <w:autoSpaceDN w:val="0"/>
        <w:adjustRightInd w:val="0"/>
        <w:spacing w:after="0"/>
        <w:rPr>
          <w:rFonts w:asciiTheme="minorHAnsi" w:hAnsiTheme="minorHAnsi"/>
        </w:rPr>
      </w:pPr>
    </w:p>
    <w:p w:rsidR="00A72668" w:rsidRPr="006B7B2E" w:rsidRDefault="00A72668" w:rsidP="006B7B2E">
      <w:pPr>
        <w:spacing w:before="120" w:after="60"/>
        <w:ind w:left="708"/>
        <w:rPr>
          <w:rFonts w:asciiTheme="minorHAnsi" w:hAnsiTheme="minorHAnsi"/>
        </w:rPr>
      </w:pPr>
      <w:r w:rsidRPr="006B7B2E">
        <w:rPr>
          <w:rFonts w:asciiTheme="minorHAnsi" w:eastAsiaTheme="minorHAnsi" w:hAnsiTheme="minorHAnsi"/>
        </w:rPr>
        <w:t>Un bloc « </w:t>
      </w:r>
      <w:r w:rsidRPr="006B7B2E">
        <w:rPr>
          <w:rFonts w:asciiTheme="minorHAnsi" w:hAnsiTheme="minorHAnsi"/>
        </w:rPr>
        <w:t xml:space="preserve">Cotisation individuelle - S21.G00.81 » dont la rubrique « Code de cotisation – S21.G00.81.001 » est renseignée à  </w:t>
      </w:r>
      <w:r w:rsidRPr="006B7B2E">
        <w:rPr>
          <w:rFonts w:asciiTheme="minorHAnsi" w:hAnsiTheme="minorHAnsi"/>
          <w:b/>
          <w:u w:val="single"/>
        </w:rPr>
        <w:t>« 004 - Exonération de cotisations au titre de l'emploi d'un salarié en contrat d'accès à l'emploi »</w:t>
      </w:r>
    </w:p>
    <w:p w:rsidR="00A72668" w:rsidRPr="006B7B2E" w:rsidRDefault="00A72668" w:rsidP="006B7B2E">
      <w:pPr>
        <w:autoSpaceDE w:val="0"/>
        <w:autoSpaceDN w:val="0"/>
        <w:adjustRightInd w:val="0"/>
        <w:spacing w:after="0"/>
        <w:rPr>
          <w:rFonts w:asciiTheme="minorHAnsi" w:hAnsiTheme="minorHAnsi"/>
        </w:rPr>
      </w:pPr>
    </w:p>
    <w:p w:rsidR="007C124E" w:rsidRPr="006B7B2E" w:rsidRDefault="0096518B" w:rsidP="00000FF5">
      <w:pPr>
        <w:rPr>
          <w:rFonts w:asciiTheme="minorHAnsi" w:hAnsiTheme="minorHAnsi"/>
        </w:rPr>
      </w:pPr>
      <w:r w:rsidRPr="006B7B2E">
        <w:rPr>
          <w:rFonts w:asciiTheme="minorHAnsi" w:hAnsiTheme="minorHAnsi"/>
        </w:rPr>
        <w:t>Pour connaître le rattachement des blocs « </w:t>
      </w:r>
      <w:r w:rsidRPr="006B7B2E">
        <w:rPr>
          <w:rFonts w:asciiTheme="minorHAnsi" w:hAnsiTheme="minorHAnsi"/>
          <w:iCs/>
        </w:rPr>
        <w:t xml:space="preserve">Base assujettie - </w:t>
      </w:r>
      <w:r w:rsidRPr="006B7B2E">
        <w:rPr>
          <w:rFonts w:asciiTheme="minorHAnsi" w:hAnsiTheme="minorHAnsi"/>
          <w:bCs/>
        </w:rPr>
        <w:t>S21.G00.78 »</w:t>
      </w:r>
      <w:r w:rsidRPr="006B7B2E">
        <w:rPr>
          <w:rFonts w:asciiTheme="minorHAnsi" w:hAnsiTheme="minorHAnsi"/>
        </w:rPr>
        <w:t>, « </w:t>
      </w:r>
      <w:r w:rsidRPr="006B7B2E">
        <w:rPr>
          <w:rFonts w:asciiTheme="minorHAnsi" w:hAnsiTheme="minorHAnsi"/>
          <w:iCs/>
        </w:rPr>
        <w:t>Composant de base assujettie</w:t>
      </w:r>
      <w:r w:rsidRPr="006B7B2E">
        <w:rPr>
          <w:rFonts w:asciiTheme="minorHAnsi" w:hAnsiTheme="minorHAnsi"/>
          <w:i/>
          <w:iCs/>
        </w:rPr>
        <w:t xml:space="preserve"> - </w:t>
      </w:r>
      <w:r w:rsidRPr="006B7B2E">
        <w:rPr>
          <w:rFonts w:asciiTheme="minorHAnsi" w:hAnsiTheme="minorHAnsi"/>
          <w:bCs/>
        </w:rPr>
        <w:t>S21.G00.79 »</w:t>
      </w:r>
      <w:r w:rsidRPr="006B7B2E">
        <w:rPr>
          <w:rFonts w:asciiTheme="minorHAnsi" w:hAnsiTheme="minorHAnsi"/>
        </w:rPr>
        <w:t xml:space="preserve"> et « </w:t>
      </w:r>
      <w:r w:rsidRPr="006B7B2E">
        <w:rPr>
          <w:rFonts w:asciiTheme="minorHAnsi" w:hAnsiTheme="minorHAnsi"/>
          <w:iCs/>
        </w:rPr>
        <w:t>Cotisation individuelle</w:t>
      </w:r>
      <w:r w:rsidRPr="006B7B2E">
        <w:rPr>
          <w:rFonts w:asciiTheme="minorHAnsi" w:hAnsiTheme="minorHAnsi"/>
          <w:i/>
          <w:iCs/>
        </w:rPr>
        <w:t xml:space="preserve"> - </w:t>
      </w:r>
      <w:r w:rsidRPr="006B7B2E">
        <w:rPr>
          <w:rFonts w:asciiTheme="minorHAnsi" w:hAnsiTheme="minorHAnsi"/>
          <w:bCs/>
        </w:rPr>
        <w:t>S21.G00.81 » pour l’ensemble des organismes</w:t>
      </w:r>
      <w:r w:rsidRPr="006B7B2E">
        <w:rPr>
          <w:rFonts w:asciiTheme="minorHAnsi" w:hAnsiTheme="minorHAnsi"/>
        </w:rPr>
        <w:t xml:space="preserve">, </w:t>
      </w:r>
      <w:r w:rsidR="004E073E" w:rsidRPr="006B7B2E">
        <w:rPr>
          <w:rFonts w:asciiTheme="minorHAnsi" w:hAnsiTheme="minorHAnsi"/>
        </w:rPr>
        <w:t xml:space="preserve">nous vous invitons à consulter </w:t>
      </w:r>
      <w:r w:rsidR="004E073E" w:rsidRPr="006B7B2E">
        <w:rPr>
          <w:rFonts w:asciiTheme="minorHAnsi" w:hAnsiTheme="minorHAnsi"/>
          <w:b/>
        </w:rPr>
        <w:t>le tableau complet</w:t>
      </w:r>
      <w:r w:rsidR="004E073E" w:rsidRPr="006B7B2E">
        <w:rPr>
          <w:rFonts w:asciiTheme="minorHAnsi" w:hAnsiTheme="minorHAnsi"/>
        </w:rPr>
        <w:t xml:space="preserve"> disponible </w:t>
      </w:r>
      <w:hyperlink r:id="rId8" w:history="1">
        <w:r w:rsidR="004E073E" w:rsidRPr="00A03D5C">
          <w:rPr>
            <w:rStyle w:val="Lienhypertexte"/>
            <w:rFonts w:asciiTheme="minorHAnsi" w:hAnsiTheme="minorHAnsi"/>
            <w:b/>
          </w:rPr>
          <w:t>ici</w:t>
        </w:r>
      </w:hyperlink>
      <w:r w:rsidR="004E073E" w:rsidRPr="006B7B2E">
        <w:rPr>
          <w:rFonts w:asciiTheme="minorHAnsi" w:hAnsiTheme="minorHAnsi"/>
        </w:rPr>
        <w:t>.</w:t>
      </w:r>
    </w:p>
    <w:sectPr w:rsidR="007C124E" w:rsidRPr="006B7B2E" w:rsidSect="007D211C">
      <w:headerReference w:type="default" r:id="rId9"/>
      <w:footerReference w:type="default" r:id="rId10"/>
      <w:pgSz w:w="11906" w:h="16838"/>
      <w:pgMar w:top="1440" w:right="1080" w:bottom="1440" w:left="1080" w:header="680"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E6C" w:rsidRDefault="00466E6C" w:rsidP="007C124E">
      <w:pPr>
        <w:spacing w:after="0"/>
      </w:pPr>
      <w:r>
        <w:separator/>
      </w:r>
    </w:p>
  </w:endnote>
  <w:endnote w:type="continuationSeparator" w:id="0">
    <w:p w:rsidR="00466E6C" w:rsidRDefault="00466E6C" w:rsidP="007C124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BD5" w:rsidRDefault="00941BD5">
    <w:pPr>
      <w:pStyle w:val="Pieddepage"/>
    </w:pPr>
  </w:p>
  <w:tbl>
    <w:tblPr>
      <w:tblW w:w="0" w:type="auto"/>
      <w:tblBorders>
        <w:top w:val="single" w:sz="8" w:space="0" w:color="808080"/>
      </w:tblBorders>
      <w:tblCellMar>
        <w:top w:w="72" w:type="dxa"/>
        <w:left w:w="28" w:type="dxa"/>
        <w:bottom w:w="72" w:type="dxa"/>
        <w:right w:w="0" w:type="dxa"/>
      </w:tblCellMar>
      <w:tblLook w:val="04A0"/>
    </w:tblPr>
    <w:tblGrid>
      <w:gridCol w:w="8372"/>
      <w:gridCol w:w="930"/>
    </w:tblGrid>
    <w:tr w:rsidR="00941BD5" w:rsidTr="007D211C">
      <w:trPr>
        <w:trHeight w:val="331"/>
      </w:trPr>
      <w:tc>
        <w:tcPr>
          <w:tcW w:w="8372" w:type="dxa"/>
          <w:tcBorders>
            <w:right w:val="single" w:sz="8" w:space="0" w:color="808080"/>
          </w:tcBorders>
        </w:tcPr>
        <w:p w:rsidR="00941BD5" w:rsidRDefault="00941BD5" w:rsidP="007D211C">
          <w:pPr>
            <w:pStyle w:val="Pieddepage"/>
            <w:tabs>
              <w:tab w:val="clear" w:pos="4536"/>
              <w:tab w:val="clear" w:pos="9072"/>
              <w:tab w:val="left" w:pos="0"/>
            </w:tabs>
          </w:pPr>
          <w:r>
            <w:rPr>
              <w:noProof/>
              <w:lang w:eastAsia="fr-FR"/>
            </w:rPr>
            <w:drawing>
              <wp:inline distT="0" distB="0" distL="0" distR="0">
                <wp:extent cx="942975" cy="219075"/>
                <wp:effectExtent l="19050" t="0" r="9525" b="0"/>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942975" cy="219075"/>
                        </a:xfrm>
                        <a:prstGeom prst="rect">
                          <a:avLst/>
                        </a:prstGeom>
                        <a:noFill/>
                        <a:ln w="9525">
                          <a:noFill/>
                          <a:miter lim="800000"/>
                          <a:headEnd/>
                          <a:tailEnd/>
                        </a:ln>
                      </pic:spPr>
                    </pic:pic>
                  </a:graphicData>
                </a:graphic>
              </wp:inline>
            </w:drawing>
          </w:r>
          <w:r>
            <w:rPr>
              <w:noProof/>
              <w:lang w:eastAsia="fr-FR"/>
            </w:rPr>
            <w:t xml:space="preserve"> </w:t>
          </w:r>
        </w:p>
      </w:tc>
      <w:tc>
        <w:tcPr>
          <w:tcW w:w="930" w:type="dxa"/>
          <w:tcBorders>
            <w:top w:val="single" w:sz="8" w:space="0" w:color="808080"/>
            <w:left w:val="single" w:sz="8" w:space="0" w:color="808080"/>
          </w:tcBorders>
          <w:shd w:val="clear" w:color="auto" w:fill="FFFFFF"/>
          <w:vAlign w:val="center"/>
        </w:tcPr>
        <w:p w:rsidR="00941BD5" w:rsidRPr="007B4870" w:rsidRDefault="00941BD5" w:rsidP="007D211C">
          <w:pPr>
            <w:pStyle w:val="En-tte"/>
            <w:rPr>
              <w:color w:val="808080"/>
              <w:sz w:val="20"/>
              <w:szCs w:val="20"/>
            </w:rPr>
          </w:pPr>
          <w:r w:rsidRPr="007B4870">
            <w:rPr>
              <w:color w:val="808080"/>
              <w:sz w:val="20"/>
              <w:szCs w:val="20"/>
            </w:rPr>
            <w:t xml:space="preserve">Page </w:t>
          </w:r>
          <w:r w:rsidR="00464254" w:rsidRPr="007B4870">
            <w:rPr>
              <w:color w:val="808080"/>
              <w:sz w:val="20"/>
              <w:szCs w:val="20"/>
            </w:rPr>
            <w:fldChar w:fldCharType="begin"/>
          </w:r>
          <w:r w:rsidRPr="007B4870">
            <w:rPr>
              <w:color w:val="808080"/>
              <w:sz w:val="20"/>
              <w:szCs w:val="20"/>
            </w:rPr>
            <w:instrText xml:space="preserve"> PAGE   \* MERGEFORMAT </w:instrText>
          </w:r>
          <w:r w:rsidR="00464254" w:rsidRPr="007B4870">
            <w:rPr>
              <w:color w:val="808080"/>
              <w:sz w:val="20"/>
              <w:szCs w:val="20"/>
            </w:rPr>
            <w:fldChar w:fldCharType="separate"/>
          </w:r>
          <w:r w:rsidR="00A03D5C">
            <w:rPr>
              <w:noProof/>
              <w:color w:val="808080"/>
              <w:sz w:val="20"/>
              <w:szCs w:val="20"/>
            </w:rPr>
            <w:t>3</w:t>
          </w:r>
          <w:r w:rsidR="00464254" w:rsidRPr="007B4870">
            <w:rPr>
              <w:color w:val="808080"/>
              <w:sz w:val="20"/>
              <w:szCs w:val="20"/>
            </w:rPr>
            <w:fldChar w:fldCharType="end"/>
          </w:r>
        </w:p>
      </w:tc>
    </w:tr>
  </w:tbl>
  <w:p w:rsidR="00941BD5" w:rsidRDefault="00941BD5" w:rsidP="007D211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E6C" w:rsidRDefault="00466E6C" w:rsidP="007C124E">
      <w:pPr>
        <w:spacing w:after="0"/>
      </w:pPr>
      <w:r>
        <w:separator/>
      </w:r>
    </w:p>
  </w:footnote>
  <w:footnote w:type="continuationSeparator" w:id="0">
    <w:p w:rsidR="00466E6C" w:rsidRDefault="00466E6C" w:rsidP="007C124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tblPr>
    <w:tblGrid>
      <w:gridCol w:w="1776"/>
      <w:gridCol w:w="6237"/>
      <w:gridCol w:w="2058"/>
    </w:tblGrid>
    <w:tr w:rsidR="00941BD5" w:rsidTr="007D211C">
      <w:trPr>
        <w:trHeight w:val="832"/>
        <w:jc w:val="center"/>
      </w:trPr>
      <w:tc>
        <w:tcPr>
          <w:tcW w:w="1776" w:type="dxa"/>
          <w:vAlign w:val="center"/>
        </w:tcPr>
        <w:p w:rsidR="00941BD5" w:rsidRDefault="00941BD5" w:rsidP="007D211C">
          <w:pPr>
            <w:tabs>
              <w:tab w:val="right" w:pos="9072"/>
            </w:tabs>
            <w:jc w:val="center"/>
            <w:rPr>
              <w:smallCaps/>
              <w:color w:val="000000"/>
            </w:rPr>
          </w:pPr>
          <w:r>
            <w:rPr>
              <w:smallCaps/>
              <w:noProof/>
              <w:color w:val="000000"/>
              <w:lang w:eastAsia="fr-FR"/>
            </w:rPr>
            <w:drawing>
              <wp:anchor distT="0" distB="0" distL="114300" distR="114300" simplePos="0" relativeHeight="251659264" behindDoc="0" locked="0" layoutInCell="1" allowOverlap="1">
                <wp:simplePos x="0" y="0"/>
                <wp:positionH relativeFrom="column">
                  <wp:posOffset>281305</wp:posOffset>
                </wp:positionH>
                <wp:positionV relativeFrom="paragraph">
                  <wp:posOffset>-7620</wp:posOffset>
                </wp:positionV>
                <wp:extent cx="504825" cy="487680"/>
                <wp:effectExtent l="19050" t="0" r="9525" b="0"/>
                <wp:wrapNone/>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504825" cy="487680"/>
                        </a:xfrm>
                        <a:prstGeom prst="rect">
                          <a:avLst/>
                        </a:prstGeom>
                        <a:noFill/>
                        <a:ln w="9525">
                          <a:noFill/>
                          <a:miter lim="800000"/>
                          <a:headEnd/>
                          <a:tailEnd/>
                        </a:ln>
                      </pic:spPr>
                    </pic:pic>
                  </a:graphicData>
                </a:graphic>
              </wp:anchor>
            </w:drawing>
          </w:r>
        </w:p>
      </w:tc>
      <w:tc>
        <w:tcPr>
          <w:tcW w:w="6237" w:type="dxa"/>
          <w:tcBorders>
            <w:right w:val="single" w:sz="4" w:space="0" w:color="auto"/>
          </w:tcBorders>
          <w:vAlign w:val="center"/>
        </w:tcPr>
        <w:p w:rsidR="00941BD5" w:rsidRDefault="00941BD5" w:rsidP="007D211C">
          <w:pPr>
            <w:pStyle w:val="En-tte"/>
            <w:tabs>
              <w:tab w:val="clear" w:pos="4536"/>
              <w:tab w:val="left" w:pos="2056"/>
              <w:tab w:val="left" w:pos="7310"/>
              <w:tab w:val="left" w:pos="8376"/>
            </w:tabs>
            <w:jc w:val="center"/>
            <w:rPr>
              <w:rStyle w:val="Numrodepage"/>
              <w:b/>
              <w:sz w:val="10"/>
            </w:rPr>
          </w:pPr>
          <w:r>
            <w:rPr>
              <w:b/>
              <w:color w:val="365F91"/>
              <w:sz w:val="20"/>
            </w:rPr>
            <w:t>Déclaration Sociale Nominative</w:t>
          </w:r>
        </w:p>
        <w:p w:rsidR="00941BD5" w:rsidRPr="00A034DB" w:rsidRDefault="00941BD5" w:rsidP="007C124E">
          <w:pPr>
            <w:jc w:val="center"/>
          </w:pPr>
          <w:r>
            <w:rPr>
              <w:color w:val="000000"/>
            </w:rPr>
            <w:t xml:space="preserve">Fiche consigne – Phase 3 – </w:t>
          </w:r>
          <w:r w:rsidRPr="00E47DFB">
            <w:t>Tableau de concordance des Bases assujetties, Composants de base assujettie et Cotisations individ</w:t>
          </w:r>
          <w:r>
            <w:t>uelles à destination des organismes</w:t>
          </w:r>
        </w:p>
      </w:tc>
      <w:tc>
        <w:tcPr>
          <w:tcW w:w="2058" w:type="dxa"/>
          <w:tcBorders>
            <w:left w:val="single" w:sz="4" w:space="0" w:color="auto"/>
          </w:tcBorders>
          <w:vAlign w:val="center"/>
        </w:tcPr>
        <w:p w:rsidR="00941BD5" w:rsidRDefault="00941BD5" w:rsidP="007D211C">
          <w:pPr>
            <w:pStyle w:val="En-tte"/>
            <w:tabs>
              <w:tab w:val="left" w:pos="2056"/>
              <w:tab w:val="left" w:pos="7310"/>
              <w:tab w:val="left" w:pos="8376"/>
            </w:tabs>
            <w:jc w:val="center"/>
            <w:rPr>
              <w:noProof/>
            </w:rPr>
          </w:pPr>
          <w:r>
            <w:rPr>
              <w:noProof/>
            </w:rPr>
            <w:t>Version 0.1</w:t>
          </w:r>
        </w:p>
        <w:p w:rsidR="00941BD5" w:rsidRPr="00680CB2" w:rsidRDefault="00941BD5" w:rsidP="007D211C">
          <w:pPr>
            <w:pStyle w:val="En-tte"/>
            <w:tabs>
              <w:tab w:val="left" w:pos="2056"/>
              <w:tab w:val="left" w:pos="7310"/>
              <w:tab w:val="left" w:pos="8376"/>
            </w:tabs>
            <w:jc w:val="center"/>
          </w:pPr>
          <w:r>
            <w:t>05/10/2016</w:t>
          </w:r>
        </w:p>
      </w:tc>
    </w:tr>
  </w:tbl>
  <w:p w:rsidR="00941BD5" w:rsidRDefault="00941BD5">
    <w:pPr>
      <w:pStyle w:val="En-tte"/>
    </w:pPr>
  </w:p>
  <w:p w:rsidR="00941BD5" w:rsidRDefault="00941BD5">
    <w:pPr>
      <w:pStyle w:val="En-tte"/>
    </w:pPr>
  </w:p>
  <w:p w:rsidR="00941BD5" w:rsidRDefault="00941BD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E0276"/>
    <w:multiLevelType w:val="hybridMultilevel"/>
    <w:tmpl w:val="4D1823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677164E"/>
    <w:multiLevelType w:val="hybridMultilevel"/>
    <w:tmpl w:val="506EF25E"/>
    <w:lvl w:ilvl="0" w:tplc="D0A02C68">
      <w:start w:val="1"/>
      <w:numFmt w:val="bullet"/>
      <w:lvlText w:val=""/>
      <w:lvlJc w:val="left"/>
      <w:pPr>
        <w:ind w:left="360" w:hanging="360"/>
      </w:pPr>
      <w:rPr>
        <w:rFonts w:ascii="Symbol" w:hAnsi="Symbol" w:hint="default"/>
        <w:color w:val="5F497A"/>
        <w:u w:color="00206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4AE90788"/>
    <w:multiLevelType w:val="hybridMultilevel"/>
    <w:tmpl w:val="C1AEE428"/>
    <w:lvl w:ilvl="0" w:tplc="B298EC9C">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8E9710B"/>
    <w:multiLevelType w:val="hybridMultilevel"/>
    <w:tmpl w:val="1A92A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FB30287"/>
    <w:multiLevelType w:val="hybridMultilevel"/>
    <w:tmpl w:val="0862E214"/>
    <w:lvl w:ilvl="0" w:tplc="E3CA75D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5B44403"/>
    <w:multiLevelType w:val="hybridMultilevel"/>
    <w:tmpl w:val="8FC27226"/>
    <w:lvl w:ilvl="0" w:tplc="B22817D0">
      <w:start w:val="1"/>
      <w:numFmt w:val="bullet"/>
      <w:lvlText w:val=""/>
      <w:lvlJc w:val="left"/>
      <w:pPr>
        <w:ind w:left="720" w:hanging="360"/>
      </w:pPr>
      <w:rPr>
        <w:rFonts w:ascii="Symbol" w:hAnsi="Symbol" w:hint="default"/>
        <w:color w:val="1F497D" w:themeColor="text2"/>
        <w:u w:color="002060"/>
      </w:rPr>
    </w:lvl>
    <w:lvl w:ilvl="1" w:tplc="D0A02C68">
      <w:start w:val="1"/>
      <w:numFmt w:val="bullet"/>
      <w:lvlText w:val=""/>
      <w:lvlJc w:val="left"/>
      <w:pPr>
        <w:ind w:left="1440" w:hanging="360"/>
      </w:pPr>
      <w:rPr>
        <w:rFonts w:ascii="Symbol" w:hAnsi="Symbol" w:hint="default"/>
        <w:color w:val="5F497A"/>
        <w:u w:color="00206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7F84714"/>
    <w:multiLevelType w:val="hybridMultilevel"/>
    <w:tmpl w:val="9DFA1342"/>
    <w:lvl w:ilvl="0" w:tplc="258817FC">
      <w:start w:val="1"/>
      <w:numFmt w:val="bullet"/>
      <w:lvlText w:val=""/>
      <w:lvlJc w:val="left"/>
      <w:pPr>
        <w:ind w:left="720" w:hanging="360"/>
      </w:pPr>
      <w:rPr>
        <w:rFonts w:ascii="Symbol" w:hAnsi="Symbol" w:hint="default"/>
        <w:color w:val="1F497D" w:themeColor="text2"/>
        <w:u w:color="002060"/>
      </w:rPr>
    </w:lvl>
    <w:lvl w:ilvl="1" w:tplc="D0A02C68">
      <w:start w:val="1"/>
      <w:numFmt w:val="bullet"/>
      <w:lvlText w:val=""/>
      <w:lvlJc w:val="left"/>
      <w:pPr>
        <w:ind w:left="1440" w:hanging="360"/>
      </w:pPr>
      <w:rPr>
        <w:rFonts w:ascii="Symbol" w:hAnsi="Symbol" w:hint="default"/>
        <w:color w:val="5F497A"/>
        <w:u w:color="00206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footnotePr>
    <w:footnote w:id="-1"/>
    <w:footnote w:id="0"/>
  </w:footnotePr>
  <w:endnotePr>
    <w:endnote w:id="-1"/>
    <w:endnote w:id="0"/>
  </w:endnotePr>
  <w:compat/>
  <w:rsids>
    <w:rsidRoot w:val="007C124E"/>
    <w:rsid w:val="00000FF5"/>
    <w:rsid w:val="0002171C"/>
    <w:rsid w:val="000D07D4"/>
    <w:rsid w:val="001104A2"/>
    <w:rsid w:val="00190759"/>
    <w:rsid w:val="001A7183"/>
    <w:rsid w:val="003A16FE"/>
    <w:rsid w:val="00457FDD"/>
    <w:rsid w:val="00464254"/>
    <w:rsid w:val="00466E6C"/>
    <w:rsid w:val="004A29B7"/>
    <w:rsid w:val="004D2E21"/>
    <w:rsid w:val="004E073E"/>
    <w:rsid w:val="004E0D3A"/>
    <w:rsid w:val="00596887"/>
    <w:rsid w:val="00631BA5"/>
    <w:rsid w:val="006B7B2E"/>
    <w:rsid w:val="007C124E"/>
    <w:rsid w:val="007D211C"/>
    <w:rsid w:val="008D5990"/>
    <w:rsid w:val="00941BD5"/>
    <w:rsid w:val="0096518B"/>
    <w:rsid w:val="009A62C5"/>
    <w:rsid w:val="009F30AA"/>
    <w:rsid w:val="00A03D5C"/>
    <w:rsid w:val="00A150FE"/>
    <w:rsid w:val="00A72668"/>
    <w:rsid w:val="00B24E93"/>
    <w:rsid w:val="00BC4CB1"/>
    <w:rsid w:val="00BF66F0"/>
    <w:rsid w:val="00D572B3"/>
    <w:rsid w:val="00DF3C54"/>
    <w:rsid w:val="00EF5EAA"/>
    <w:rsid w:val="00FD70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24E"/>
    <w:pPr>
      <w:spacing w:after="240" w:line="240" w:lineRule="auto"/>
      <w:jc w:val="both"/>
    </w:pPr>
    <w:rPr>
      <w:rFonts w:ascii="Calibri" w:eastAsia="Calibri" w:hAnsi="Calibri" w:cs="Times New Roman"/>
    </w:rPr>
  </w:style>
  <w:style w:type="paragraph" w:styleId="Titre1">
    <w:name w:val="heading 1"/>
    <w:basedOn w:val="Normal"/>
    <w:next w:val="Normal"/>
    <w:link w:val="Titre1Car"/>
    <w:uiPriority w:val="9"/>
    <w:qFormat/>
    <w:rsid w:val="00FD70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uiPriority w:val="9"/>
    <w:unhideWhenUsed/>
    <w:qFormat/>
    <w:rsid w:val="007C12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7C124E"/>
    <w:rPr>
      <w:rFonts w:asciiTheme="majorHAnsi" w:eastAsiaTheme="majorEastAsia" w:hAnsiTheme="majorHAnsi" w:cstheme="majorBidi"/>
      <w:b/>
      <w:bCs/>
      <w:i/>
      <w:iCs/>
      <w:color w:val="4F81BD" w:themeColor="accent1"/>
    </w:rPr>
  </w:style>
  <w:style w:type="paragraph" w:styleId="En-tte">
    <w:name w:val="header"/>
    <w:basedOn w:val="Normal"/>
    <w:link w:val="En-tteCar"/>
    <w:unhideWhenUsed/>
    <w:rsid w:val="007C124E"/>
    <w:pPr>
      <w:tabs>
        <w:tab w:val="center" w:pos="4536"/>
        <w:tab w:val="right" w:pos="9072"/>
      </w:tabs>
      <w:spacing w:after="0"/>
    </w:pPr>
  </w:style>
  <w:style w:type="character" w:customStyle="1" w:styleId="En-tteCar">
    <w:name w:val="En-tête Car"/>
    <w:basedOn w:val="Policepardfaut"/>
    <w:link w:val="En-tte"/>
    <w:rsid w:val="007C124E"/>
    <w:rPr>
      <w:rFonts w:ascii="Calibri" w:eastAsia="Calibri" w:hAnsi="Calibri" w:cs="Times New Roman"/>
    </w:rPr>
  </w:style>
  <w:style w:type="paragraph" w:styleId="Pieddepage">
    <w:name w:val="footer"/>
    <w:basedOn w:val="Normal"/>
    <w:link w:val="PieddepageCar"/>
    <w:uiPriority w:val="99"/>
    <w:unhideWhenUsed/>
    <w:rsid w:val="007C124E"/>
    <w:pPr>
      <w:tabs>
        <w:tab w:val="center" w:pos="4536"/>
        <w:tab w:val="right" w:pos="9072"/>
      </w:tabs>
      <w:spacing w:after="0"/>
    </w:pPr>
  </w:style>
  <w:style w:type="character" w:customStyle="1" w:styleId="PieddepageCar">
    <w:name w:val="Pied de page Car"/>
    <w:basedOn w:val="Policepardfaut"/>
    <w:link w:val="Pieddepage"/>
    <w:uiPriority w:val="99"/>
    <w:rsid w:val="007C124E"/>
    <w:rPr>
      <w:rFonts w:ascii="Calibri" w:eastAsia="Calibri" w:hAnsi="Calibri" w:cs="Times New Roman"/>
    </w:rPr>
  </w:style>
  <w:style w:type="character" w:styleId="Numrodepage">
    <w:name w:val="page number"/>
    <w:basedOn w:val="Policepardfaut"/>
    <w:semiHidden/>
    <w:rsid w:val="007C124E"/>
  </w:style>
  <w:style w:type="paragraph" w:customStyle="1" w:styleId="Standard">
    <w:name w:val="Standard"/>
    <w:rsid w:val="007C124E"/>
    <w:pPr>
      <w:suppressAutoHyphens/>
      <w:autoSpaceDN w:val="0"/>
      <w:spacing w:before="120" w:after="120"/>
      <w:jc w:val="both"/>
      <w:textAlignment w:val="baseline"/>
    </w:pPr>
    <w:rPr>
      <w:rFonts w:ascii="Calibri" w:eastAsia="SimSun" w:hAnsi="Calibri" w:cs="Calibri"/>
      <w:kern w:val="3"/>
    </w:rPr>
  </w:style>
  <w:style w:type="paragraph" w:styleId="Textedebulles">
    <w:name w:val="Balloon Text"/>
    <w:basedOn w:val="Normal"/>
    <w:link w:val="TextedebullesCar"/>
    <w:uiPriority w:val="99"/>
    <w:semiHidden/>
    <w:unhideWhenUsed/>
    <w:rsid w:val="007C124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7C124E"/>
    <w:rPr>
      <w:rFonts w:ascii="Tahoma" w:eastAsia="Calibri" w:hAnsi="Tahoma" w:cs="Tahoma"/>
      <w:sz w:val="16"/>
      <w:szCs w:val="16"/>
    </w:rPr>
  </w:style>
  <w:style w:type="paragraph" w:styleId="Paragraphedeliste">
    <w:name w:val="List Paragraph"/>
    <w:basedOn w:val="Normal"/>
    <w:link w:val="ParagraphedelisteCar"/>
    <w:uiPriority w:val="34"/>
    <w:qFormat/>
    <w:rsid w:val="007C124E"/>
    <w:pPr>
      <w:ind w:left="720"/>
      <w:contextualSpacing/>
    </w:pPr>
  </w:style>
  <w:style w:type="character" w:customStyle="1" w:styleId="ParagraphedelisteCar">
    <w:name w:val="Paragraphe de liste Car"/>
    <w:basedOn w:val="Policepardfaut"/>
    <w:link w:val="Paragraphedeliste"/>
    <w:uiPriority w:val="34"/>
    <w:locked/>
    <w:rsid w:val="00631BA5"/>
    <w:rPr>
      <w:rFonts w:ascii="Calibri" w:eastAsia="Calibri" w:hAnsi="Calibri" w:cs="Times New Roman"/>
    </w:rPr>
  </w:style>
  <w:style w:type="character" w:customStyle="1" w:styleId="Titre1Car">
    <w:name w:val="Titre 1 Car"/>
    <w:basedOn w:val="Policepardfaut"/>
    <w:link w:val="Titre1"/>
    <w:uiPriority w:val="9"/>
    <w:rsid w:val="00FD70A1"/>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FD70A1"/>
    <w:pPr>
      <w:spacing w:line="276" w:lineRule="auto"/>
      <w:jc w:val="left"/>
      <w:outlineLvl w:val="9"/>
    </w:pPr>
  </w:style>
  <w:style w:type="paragraph" w:styleId="TM1">
    <w:name w:val="toc 1"/>
    <w:basedOn w:val="Normal"/>
    <w:next w:val="Normal"/>
    <w:autoRedefine/>
    <w:uiPriority w:val="39"/>
    <w:unhideWhenUsed/>
    <w:rsid w:val="00FD70A1"/>
    <w:pPr>
      <w:spacing w:after="100"/>
    </w:pPr>
  </w:style>
  <w:style w:type="character" w:styleId="Lienhypertexte">
    <w:name w:val="Hyperlink"/>
    <w:basedOn w:val="Policepardfaut"/>
    <w:uiPriority w:val="99"/>
    <w:unhideWhenUsed/>
    <w:rsid w:val="00FD70A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n-info.fr/documentation/dsn-rattachement-blocs-78-79-81.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A79AC-80C6-4028-AFA6-92B1B5C7E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624</Words>
  <Characters>3436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GIP-MDS</Company>
  <LinksUpToDate>false</LinksUpToDate>
  <CharactersWithSpaces>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cguerin</dc:creator>
  <cp:lastModifiedBy>kchabouni</cp:lastModifiedBy>
  <cp:revision>3</cp:revision>
  <dcterms:created xsi:type="dcterms:W3CDTF">2016-10-05T17:03:00Z</dcterms:created>
  <dcterms:modified xsi:type="dcterms:W3CDTF">2016-10-06T10:00:00Z</dcterms:modified>
</cp:coreProperties>
</file>