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CD7CF" w14:textId="7D029416" w:rsidR="00F355A4" w:rsidRDefault="00F355A4">
      <w:r>
        <w:rPr>
          <w:rFonts w:ascii="Arial" w:eastAsia="Times New Roman" w:hAnsi="Arial" w:cs="Arial"/>
          <w:noProof/>
          <w:lang w:eastAsia="fr-FR"/>
        </w:rPr>
        <w:drawing>
          <wp:inline distT="0" distB="0" distL="0" distR="0" wp14:anchorId="544E4CFA" wp14:editId="5AEBEC5C">
            <wp:extent cx="1798752" cy="422564"/>
            <wp:effectExtent l="0" t="0" r="0" b="0"/>
            <wp:docPr id="1" name="Image 1" descr="LOGO_GIP&amp;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GIP&amp;N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501" cy="42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AE211" w14:textId="77777777" w:rsidR="00B80430" w:rsidRDefault="00B80430"/>
    <w:p w14:paraId="3E5F8EA0" w14:textId="77777777" w:rsidR="00F355A4" w:rsidRPr="00F355A4" w:rsidRDefault="00F355A4" w:rsidP="00F355A4">
      <w:pPr>
        <w:jc w:val="right"/>
        <w:rPr>
          <w:rFonts w:asciiTheme="majorHAnsi" w:hAnsiTheme="majorHAnsi"/>
          <w:b/>
        </w:rPr>
      </w:pPr>
      <w:r w:rsidRPr="00F355A4">
        <w:rPr>
          <w:rFonts w:asciiTheme="majorHAnsi" w:hAnsiTheme="majorHAnsi"/>
          <w:b/>
        </w:rPr>
        <w:t>Communiqué de presse</w:t>
      </w:r>
    </w:p>
    <w:p w14:paraId="72EF71E7" w14:textId="1953386A" w:rsidR="00F355A4" w:rsidRDefault="00CD0397" w:rsidP="00F355A4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14</w:t>
      </w:r>
      <w:r w:rsidR="007A68D9">
        <w:rPr>
          <w:rFonts w:asciiTheme="majorHAnsi" w:hAnsiTheme="majorHAnsi"/>
          <w:b/>
        </w:rPr>
        <w:t xml:space="preserve"> novembre 2019</w:t>
      </w:r>
    </w:p>
    <w:p w14:paraId="66F1ACB1" w14:textId="77777777" w:rsidR="00E954C1" w:rsidRDefault="00E954C1" w:rsidP="00F355A4">
      <w:pPr>
        <w:jc w:val="right"/>
        <w:rPr>
          <w:rFonts w:asciiTheme="majorHAnsi" w:hAnsiTheme="majorHAnsi"/>
          <w:b/>
        </w:rPr>
      </w:pPr>
    </w:p>
    <w:p w14:paraId="607AF337" w14:textId="77777777" w:rsidR="008F6E0C" w:rsidRDefault="008F6E0C" w:rsidP="00F874FD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67D17AEA" w14:textId="50B88EE6" w:rsidR="005F7207" w:rsidRDefault="005A5BB4" w:rsidP="00371673">
      <w:pPr>
        <w:jc w:val="center"/>
        <w:rPr>
          <w:rFonts w:asciiTheme="majorHAnsi" w:hAnsiTheme="majorHAnsi" w:cs="Arial"/>
          <w:b/>
          <w:color w:val="1F497D" w:themeColor="text2"/>
          <w:sz w:val="28"/>
          <w:szCs w:val="28"/>
        </w:rPr>
      </w:pPr>
      <w:r>
        <w:rPr>
          <w:rFonts w:asciiTheme="majorHAnsi" w:hAnsiTheme="majorHAnsi" w:cs="Arial"/>
          <w:b/>
          <w:color w:val="1F497D" w:themeColor="text2"/>
          <w:sz w:val="28"/>
          <w:szCs w:val="28"/>
        </w:rPr>
        <w:t>L</w:t>
      </w:r>
      <w:r w:rsidR="004A2076">
        <w:rPr>
          <w:rFonts w:asciiTheme="majorHAnsi" w:hAnsiTheme="majorHAnsi" w:cs="Arial"/>
          <w:b/>
          <w:color w:val="1F497D" w:themeColor="text2"/>
          <w:sz w:val="28"/>
          <w:szCs w:val="28"/>
        </w:rPr>
        <w:t>a Fonction Publique en DSN</w:t>
      </w:r>
      <w:r w:rsidR="0003179E">
        <w:rPr>
          <w:rFonts w:asciiTheme="majorHAnsi" w:hAnsiTheme="majorHAnsi" w:cs="Arial"/>
          <w:b/>
          <w:color w:val="1F497D" w:themeColor="text2"/>
          <w:sz w:val="28"/>
          <w:szCs w:val="28"/>
        </w:rPr>
        <w:t>,</w:t>
      </w:r>
      <w:r w:rsidR="005F7207">
        <w:rPr>
          <w:rFonts w:asciiTheme="majorHAnsi" w:hAnsiTheme="majorHAnsi" w:cs="Arial"/>
          <w:b/>
          <w:color w:val="1F497D" w:themeColor="text2"/>
          <w:sz w:val="28"/>
          <w:szCs w:val="28"/>
        </w:rPr>
        <w:t xml:space="preserve"> c’est demain !</w:t>
      </w:r>
    </w:p>
    <w:p w14:paraId="6A655F76" w14:textId="77777777" w:rsidR="005F7207" w:rsidRPr="00E833D6" w:rsidRDefault="005F7207" w:rsidP="00371673">
      <w:pPr>
        <w:jc w:val="center"/>
        <w:rPr>
          <w:rFonts w:asciiTheme="majorHAnsi" w:hAnsiTheme="majorHAnsi" w:cs="Arial"/>
          <w:b/>
          <w:color w:val="1F497D" w:themeColor="text2"/>
          <w:sz w:val="8"/>
          <w:szCs w:val="8"/>
        </w:rPr>
      </w:pPr>
    </w:p>
    <w:p w14:paraId="4E0C26C1" w14:textId="4999A4F2" w:rsidR="006434EA" w:rsidRPr="00E833D6" w:rsidRDefault="005F7207" w:rsidP="00371673">
      <w:pPr>
        <w:jc w:val="center"/>
        <w:rPr>
          <w:rFonts w:asciiTheme="majorHAnsi" w:hAnsiTheme="majorHAnsi" w:cs="Arial"/>
          <w:i/>
          <w:color w:val="1F497D" w:themeColor="text2"/>
          <w:sz w:val="28"/>
          <w:szCs w:val="28"/>
        </w:rPr>
      </w:pPr>
      <w:r w:rsidRPr="00E833D6">
        <w:rPr>
          <w:rFonts w:asciiTheme="majorHAnsi" w:hAnsiTheme="majorHAnsi" w:cs="Arial"/>
          <w:i/>
          <w:color w:val="1F497D" w:themeColor="text2"/>
          <w:sz w:val="28"/>
          <w:szCs w:val="28"/>
        </w:rPr>
        <w:t>Les conditions de la réussite</w:t>
      </w:r>
    </w:p>
    <w:p w14:paraId="4337A1BD" w14:textId="77777777" w:rsidR="00C41A9A" w:rsidRPr="000A7405" w:rsidRDefault="00C41A9A" w:rsidP="00660A2B">
      <w:pPr>
        <w:jc w:val="center"/>
        <w:rPr>
          <w:rFonts w:asciiTheme="majorHAnsi" w:hAnsiTheme="majorHAnsi" w:cs="Arial"/>
          <w:b/>
          <w:color w:val="C00000"/>
        </w:rPr>
      </w:pPr>
    </w:p>
    <w:p w14:paraId="4844B184" w14:textId="77777777" w:rsidR="00F874FD" w:rsidRPr="00077FC7" w:rsidRDefault="00F874FD" w:rsidP="00E954C1">
      <w:pPr>
        <w:jc w:val="both"/>
        <w:rPr>
          <w:rFonts w:asciiTheme="majorHAnsi" w:hAnsiTheme="majorHAnsi" w:cs="Arial"/>
          <w:b/>
          <w:color w:val="C00000"/>
          <w:sz w:val="22"/>
          <w:szCs w:val="22"/>
        </w:rPr>
      </w:pPr>
    </w:p>
    <w:p w14:paraId="0E5AF756" w14:textId="6C659EEF" w:rsidR="006D7FE9" w:rsidRDefault="005A5BB4" w:rsidP="007A68D9">
      <w:pPr>
        <w:spacing w:after="160" w:line="252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</w:t>
      </w:r>
      <w:r w:rsidRPr="004A2076">
        <w:rPr>
          <w:rFonts w:ascii="Arial" w:hAnsi="Arial" w:cs="Arial"/>
          <w:b/>
          <w:sz w:val="20"/>
        </w:rPr>
        <w:t xml:space="preserve">a </w:t>
      </w:r>
      <w:r w:rsidR="00865837">
        <w:rPr>
          <w:rFonts w:ascii="Arial" w:hAnsi="Arial" w:cs="Arial"/>
          <w:b/>
          <w:sz w:val="20"/>
        </w:rPr>
        <w:t xml:space="preserve">Déclaration Sociale Nominative va s’appliquer à la </w:t>
      </w:r>
      <w:r w:rsidRPr="004A2076">
        <w:rPr>
          <w:rFonts w:ascii="Arial" w:hAnsi="Arial" w:cs="Arial"/>
          <w:b/>
          <w:sz w:val="20"/>
        </w:rPr>
        <w:t xml:space="preserve">Fonction </w:t>
      </w:r>
      <w:r>
        <w:rPr>
          <w:rFonts w:ascii="Arial" w:hAnsi="Arial" w:cs="Arial"/>
          <w:b/>
          <w:sz w:val="20"/>
        </w:rPr>
        <w:t>p</w:t>
      </w:r>
      <w:r w:rsidRPr="004A2076">
        <w:rPr>
          <w:rFonts w:ascii="Arial" w:hAnsi="Arial" w:cs="Arial"/>
          <w:b/>
          <w:sz w:val="20"/>
        </w:rPr>
        <w:t>ublique</w:t>
      </w:r>
      <w:r>
        <w:rPr>
          <w:rFonts w:ascii="Arial" w:hAnsi="Arial" w:cs="Arial"/>
          <w:b/>
          <w:sz w:val="20"/>
        </w:rPr>
        <w:t xml:space="preserve"> </w:t>
      </w:r>
      <w:r w:rsidR="00865837">
        <w:rPr>
          <w:rFonts w:ascii="Arial" w:hAnsi="Arial" w:cs="Arial"/>
          <w:b/>
          <w:sz w:val="20"/>
        </w:rPr>
        <w:t>de</w:t>
      </w:r>
      <w:r>
        <w:rPr>
          <w:rFonts w:ascii="Arial" w:hAnsi="Arial" w:cs="Arial"/>
          <w:b/>
          <w:sz w:val="20"/>
        </w:rPr>
        <w:t xml:space="preserve"> façon progressive, d</w:t>
      </w:r>
      <w:r w:rsidR="005F7207">
        <w:rPr>
          <w:rFonts w:ascii="Arial" w:hAnsi="Arial" w:cs="Arial"/>
          <w:b/>
          <w:sz w:val="20"/>
        </w:rPr>
        <w:t>ès le 1</w:t>
      </w:r>
      <w:r w:rsidR="005F7207" w:rsidRPr="00E833D6">
        <w:rPr>
          <w:rFonts w:ascii="Arial" w:hAnsi="Arial" w:cs="Arial"/>
          <w:b/>
          <w:sz w:val="20"/>
          <w:vertAlign w:val="superscript"/>
        </w:rPr>
        <w:t>er</w:t>
      </w:r>
      <w:r w:rsidR="005F7207">
        <w:rPr>
          <w:rFonts w:ascii="Arial" w:hAnsi="Arial" w:cs="Arial"/>
          <w:b/>
          <w:sz w:val="20"/>
        </w:rPr>
        <w:t xml:space="preserve"> janvier 2020, jusqu’en </w:t>
      </w:r>
      <w:r w:rsidR="007A68D9" w:rsidRPr="004A2076">
        <w:rPr>
          <w:rFonts w:ascii="Arial" w:hAnsi="Arial" w:cs="Arial"/>
          <w:b/>
          <w:sz w:val="20"/>
        </w:rPr>
        <w:t>2022. </w:t>
      </w:r>
      <w:r>
        <w:rPr>
          <w:rFonts w:ascii="Arial" w:hAnsi="Arial" w:cs="Arial"/>
          <w:b/>
          <w:sz w:val="20"/>
        </w:rPr>
        <w:t xml:space="preserve">Pour assurer la mise en place de la </w:t>
      </w:r>
      <w:r w:rsidR="00865837">
        <w:rPr>
          <w:rFonts w:ascii="Arial" w:hAnsi="Arial" w:cs="Arial"/>
          <w:b/>
          <w:sz w:val="20"/>
        </w:rPr>
        <w:t>DSN</w:t>
      </w:r>
      <w:r>
        <w:rPr>
          <w:rFonts w:ascii="Arial" w:hAnsi="Arial" w:cs="Arial"/>
          <w:b/>
          <w:sz w:val="20"/>
        </w:rPr>
        <w:t xml:space="preserve">, la mobilisation </w:t>
      </w:r>
      <w:r w:rsidR="00BD7649">
        <w:rPr>
          <w:rFonts w:ascii="Arial" w:hAnsi="Arial" w:cs="Arial"/>
          <w:b/>
          <w:sz w:val="20"/>
        </w:rPr>
        <w:t>de l’ensemble des parties prenantes est essentielle.</w:t>
      </w:r>
      <w:r w:rsidR="00BD7649" w:rsidRPr="00BD7649">
        <w:rPr>
          <w:rFonts w:ascii="Arial" w:hAnsi="Arial" w:cs="Arial"/>
          <w:b/>
          <w:sz w:val="20"/>
        </w:rPr>
        <w:t xml:space="preserve"> </w:t>
      </w:r>
      <w:r w:rsidR="00193B4B" w:rsidRPr="004A2076">
        <w:rPr>
          <w:rFonts w:ascii="Arial" w:hAnsi="Arial" w:cs="Arial"/>
          <w:b/>
          <w:sz w:val="20"/>
        </w:rPr>
        <w:t>Le GIP-MDS</w:t>
      </w:r>
      <w:r w:rsidR="00193B4B">
        <w:rPr>
          <w:rFonts w:ascii="Arial" w:hAnsi="Arial" w:cs="Arial"/>
          <w:b/>
          <w:sz w:val="20"/>
        </w:rPr>
        <w:t xml:space="preserve"> (Groupement d’intérêt public Modernisation des déclarations sociales),</w:t>
      </w:r>
      <w:r w:rsidR="00193B4B" w:rsidRPr="004A2076">
        <w:rPr>
          <w:rFonts w:ascii="Arial" w:hAnsi="Arial" w:cs="Arial"/>
          <w:b/>
          <w:sz w:val="20"/>
        </w:rPr>
        <w:t xml:space="preserve"> maître d’ouvrage opérationnel de la DSN</w:t>
      </w:r>
      <w:r w:rsidR="00193B4B">
        <w:rPr>
          <w:rFonts w:ascii="Arial" w:hAnsi="Arial" w:cs="Arial"/>
          <w:b/>
          <w:sz w:val="20"/>
        </w:rPr>
        <w:t>,</w:t>
      </w:r>
      <w:r w:rsidR="00193B4B" w:rsidRPr="004A2076">
        <w:rPr>
          <w:rFonts w:ascii="Arial" w:hAnsi="Arial" w:cs="Arial"/>
          <w:b/>
          <w:sz w:val="20"/>
        </w:rPr>
        <w:t xml:space="preserve"> accompagne cette montée en charge de façon collaborative.</w:t>
      </w:r>
      <w:r w:rsidR="00193B4B">
        <w:rPr>
          <w:rFonts w:ascii="Arial" w:hAnsi="Arial" w:cs="Arial"/>
          <w:b/>
          <w:sz w:val="20"/>
        </w:rPr>
        <w:t xml:space="preserve"> </w:t>
      </w:r>
    </w:p>
    <w:p w14:paraId="52CF64AD" w14:textId="0E86C6ED" w:rsidR="007A68D9" w:rsidRPr="004A2076" w:rsidRDefault="004A2076" w:rsidP="007A68D9">
      <w:pPr>
        <w:spacing w:after="160" w:line="252" w:lineRule="auto"/>
        <w:jc w:val="both"/>
        <w:rPr>
          <w:rFonts w:ascii="Arial" w:hAnsi="Arial" w:cs="Arial"/>
          <w:b/>
          <w:sz w:val="20"/>
        </w:rPr>
      </w:pPr>
      <w:r w:rsidRPr="004A2076">
        <w:rPr>
          <w:rFonts w:ascii="Arial" w:hAnsi="Arial" w:cs="Arial"/>
          <w:b/>
          <w:sz w:val="20"/>
        </w:rPr>
        <w:t>La</w:t>
      </w:r>
      <w:r w:rsidR="00374EED" w:rsidRPr="004A2076">
        <w:rPr>
          <w:rFonts w:ascii="Arial" w:hAnsi="Arial" w:cs="Arial"/>
          <w:b/>
          <w:sz w:val="20"/>
        </w:rPr>
        <w:t xml:space="preserve"> phase pilote </w:t>
      </w:r>
      <w:r w:rsidR="00180F71">
        <w:rPr>
          <w:rFonts w:ascii="Arial" w:hAnsi="Arial" w:cs="Arial"/>
          <w:b/>
          <w:sz w:val="20"/>
        </w:rPr>
        <w:t>ouverte</w:t>
      </w:r>
      <w:r w:rsidR="00180F71" w:rsidRPr="004A2076" w:rsidDel="00BD7649">
        <w:rPr>
          <w:rFonts w:ascii="Arial" w:hAnsi="Arial" w:cs="Arial"/>
          <w:b/>
          <w:sz w:val="20"/>
        </w:rPr>
        <w:t xml:space="preserve"> </w:t>
      </w:r>
      <w:r w:rsidR="00BD7649">
        <w:rPr>
          <w:rFonts w:ascii="Arial" w:hAnsi="Arial" w:cs="Arial"/>
          <w:b/>
          <w:sz w:val="20"/>
        </w:rPr>
        <w:t>actuellement dé</w:t>
      </w:r>
      <w:r w:rsidR="00374EED" w:rsidRPr="004A2076">
        <w:rPr>
          <w:rFonts w:ascii="Arial" w:hAnsi="Arial" w:cs="Arial"/>
          <w:b/>
          <w:sz w:val="20"/>
        </w:rPr>
        <w:t xml:space="preserve">montre </w:t>
      </w:r>
      <w:r w:rsidR="00CD0397">
        <w:rPr>
          <w:rFonts w:ascii="Arial" w:hAnsi="Arial" w:cs="Arial"/>
          <w:b/>
          <w:sz w:val="20"/>
        </w:rPr>
        <w:t>l’intérêt de</w:t>
      </w:r>
      <w:r w:rsidR="00BD7649">
        <w:rPr>
          <w:rFonts w:ascii="Arial" w:hAnsi="Arial" w:cs="Arial"/>
          <w:b/>
          <w:sz w:val="20"/>
        </w:rPr>
        <w:t xml:space="preserve"> tester </w:t>
      </w:r>
      <w:r w:rsidR="00CD0397">
        <w:rPr>
          <w:rFonts w:ascii="Arial" w:hAnsi="Arial" w:cs="Arial"/>
          <w:b/>
          <w:sz w:val="20"/>
        </w:rPr>
        <w:t xml:space="preserve">le dispositif </w:t>
      </w:r>
      <w:r w:rsidR="00BD7649">
        <w:rPr>
          <w:rFonts w:ascii="Arial" w:hAnsi="Arial" w:cs="Arial"/>
          <w:b/>
          <w:sz w:val="20"/>
        </w:rPr>
        <w:t>en amont</w:t>
      </w:r>
      <w:r w:rsidR="00882849">
        <w:rPr>
          <w:rFonts w:ascii="Arial" w:hAnsi="Arial" w:cs="Arial"/>
          <w:b/>
          <w:sz w:val="20"/>
        </w:rPr>
        <w:t>, le besoin d’anticipation et d’un engagement fort de la direction des établissements</w:t>
      </w:r>
      <w:r w:rsidR="00193B4B">
        <w:rPr>
          <w:rFonts w:ascii="Arial" w:hAnsi="Arial" w:cs="Arial"/>
          <w:b/>
          <w:sz w:val="20"/>
        </w:rPr>
        <w:t>.</w:t>
      </w:r>
      <w:r w:rsidR="00882849">
        <w:rPr>
          <w:rFonts w:ascii="Arial" w:hAnsi="Arial" w:cs="Arial"/>
          <w:b/>
          <w:sz w:val="20"/>
        </w:rPr>
        <w:t xml:space="preserve"> </w:t>
      </w:r>
      <w:r w:rsidR="00193B4B">
        <w:rPr>
          <w:rFonts w:ascii="Arial" w:hAnsi="Arial" w:cs="Arial"/>
          <w:b/>
          <w:sz w:val="20"/>
        </w:rPr>
        <w:t>La</w:t>
      </w:r>
      <w:r w:rsidR="00193B4B" w:rsidRPr="004A2076">
        <w:rPr>
          <w:rFonts w:ascii="Arial" w:hAnsi="Arial" w:cs="Arial"/>
          <w:b/>
          <w:sz w:val="20"/>
        </w:rPr>
        <w:t xml:space="preserve"> DSN doit être appréhendée comme </w:t>
      </w:r>
      <w:r w:rsidR="00193B4B">
        <w:rPr>
          <w:rFonts w:ascii="Arial" w:hAnsi="Arial" w:cs="Arial"/>
          <w:b/>
          <w:sz w:val="20"/>
        </w:rPr>
        <w:t xml:space="preserve">un véritable projet d’établissement par les employeurs publics </w:t>
      </w:r>
      <w:r w:rsidR="00882849">
        <w:rPr>
          <w:rFonts w:ascii="Arial" w:hAnsi="Arial" w:cs="Arial"/>
          <w:b/>
          <w:sz w:val="20"/>
        </w:rPr>
        <w:t>pour allouer les ressources humaines et logicielles nécessaires à ces préparatifs.</w:t>
      </w:r>
    </w:p>
    <w:p w14:paraId="0571A618" w14:textId="6374F8B7" w:rsidR="005F7207" w:rsidRDefault="005F7207" w:rsidP="00143972">
      <w:pPr>
        <w:jc w:val="both"/>
        <w:rPr>
          <w:rFonts w:asciiTheme="majorHAnsi" w:hAnsiTheme="majorHAnsi" w:cs="Arial"/>
          <w:sz w:val="22"/>
          <w:szCs w:val="22"/>
        </w:rPr>
      </w:pPr>
    </w:p>
    <w:p w14:paraId="73FD8F54" w14:textId="77777777" w:rsidR="005F7207" w:rsidRPr="00E833D6" w:rsidRDefault="005F7207" w:rsidP="00143972">
      <w:pPr>
        <w:jc w:val="both"/>
        <w:rPr>
          <w:rFonts w:asciiTheme="majorHAnsi" w:hAnsiTheme="majorHAnsi" w:cs="Arial"/>
          <w:sz w:val="12"/>
          <w:szCs w:val="12"/>
        </w:rPr>
      </w:pPr>
    </w:p>
    <w:p w14:paraId="61707496" w14:textId="77777777" w:rsidR="00596FA0" w:rsidRDefault="005F7207" w:rsidP="00143972">
      <w:pPr>
        <w:jc w:val="both"/>
        <w:rPr>
          <w:rFonts w:asciiTheme="majorHAnsi" w:hAnsiTheme="majorHAnsi" w:cs="Arial"/>
          <w:b/>
          <w:color w:val="1F497D" w:themeColor="text2"/>
          <w:sz w:val="22"/>
          <w:szCs w:val="22"/>
        </w:rPr>
      </w:pPr>
      <w:r w:rsidRPr="00E833D6">
        <w:rPr>
          <w:rFonts w:asciiTheme="majorHAnsi" w:hAnsiTheme="majorHAnsi" w:cs="Arial"/>
          <w:b/>
          <w:color w:val="1F497D" w:themeColor="text2"/>
          <w:sz w:val="22"/>
          <w:szCs w:val="22"/>
        </w:rPr>
        <w:t xml:space="preserve">Ce </w:t>
      </w:r>
      <w:r w:rsidRPr="001241A9">
        <w:rPr>
          <w:rFonts w:asciiTheme="majorHAnsi" w:hAnsiTheme="majorHAnsi" w:cs="Arial"/>
          <w:b/>
          <w:color w:val="1F497D" w:themeColor="text2"/>
          <w:sz w:val="22"/>
          <w:szCs w:val="22"/>
        </w:rPr>
        <w:t>que la DSN va changer pour le</w:t>
      </w:r>
      <w:r w:rsidRPr="00E833D6">
        <w:rPr>
          <w:rFonts w:asciiTheme="majorHAnsi" w:hAnsiTheme="majorHAnsi" w:cs="Arial"/>
          <w:b/>
          <w:color w:val="1F497D" w:themeColor="text2"/>
          <w:sz w:val="22"/>
          <w:szCs w:val="22"/>
        </w:rPr>
        <w:t xml:space="preserve"> secteur public</w:t>
      </w:r>
    </w:p>
    <w:p w14:paraId="32358E10" w14:textId="77777777" w:rsidR="005F7207" w:rsidRPr="00E833D6" w:rsidRDefault="005F7207" w:rsidP="00143972">
      <w:pPr>
        <w:jc w:val="both"/>
        <w:rPr>
          <w:rFonts w:asciiTheme="majorHAnsi" w:hAnsiTheme="majorHAnsi" w:cs="Arial"/>
          <w:b/>
          <w:color w:val="1F497D" w:themeColor="text2"/>
          <w:sz w:val="22"/>
          <w:szCs w:val="22"/>
        </w:rPr>
      </w:pPr>
    </w:p>
    <w:p w14:paraId="7DBCD80F" w14:textId="6D84350D" w:rsidR="001F2946" w:rsidRDefault="001F2946" w:rsidP="00614A19">
      <w:pPr>
        <w:jc w:val="both"/>
        <w:rPr>
          <w:rFonts w:asciiTheme="majorHAnsi" w:hAnsiTheme="majorHAnsi" w:cs="Arial"/>
          <w:sz w:val="22"/>
          <w:szCs w:val="22"/>
        </w:rPr>
      </w:pPr>
      <w:r w:rsidRPr="001F2946">
        <w:rPr>
          <w:rFonts w:asciiTheme="majorHAnsi" w:hAnsiTheme="majorHAnsi" w:cs="Arial"/>
          <w:sz w:val="22"/>
          <w:szCs w:val="22"/>
        </w:rPr>
        <w:t>L’expansion de la DSN à la Fonction publique s’inscrit dans une logique de rationalisation des pratiques de paie.</w:t>
      </w:r>
      <w:r w:rsidR="007B713D">
        <w:rPr>
          <w:rFonts w:asciiTheme="majorHAnsi" w:hAnsiTheme="majorHAnsi" w:cs="Arial"/>
          <w:sz w:val="22"/>
          <w:szCs w:val="22"/>
        </w:rPr>
        <w:t xml:space="preserve"> </w:t>
      </w:r>
      <w:r w:rsidR="006D7FE9">
        <w:rPr>
          <w:rFonts w:asciiTheme="majorHAnsi" w:hAnsiTheme="majorHAnsi" w:cs="Arial"/>
          <w:sz w:val="22"/>
          <w:szCs w:val="22"/>
        </w:rPr>
        <w:t>Obligatoire d</w:t>
      </w:r>
      <w:r w:rsidR="004A2076" w:rsidRPr="004A2076">
        <w:rPr>
          <w:rFonts w:asciiTheme="majorHAnsi" w:hAnsiTheme="majorHAnsi" w:cs="Arial"/>
          <w:sz w:val="22"/>
          <w:szCs w:val="22"/>
        </w:rPr>
        <w:t xml:space="preserve">ès 2020, et progressivement d’ici 2022, la DSN </w:t>
      </w:r>
      <w:r w:rsidR="001241A9">
        <w:rPr>
          <w:rFonts w:asciiTheme="majorHAnsi" w:hAnsiTheme="majorHAnsi" w:cs="Arial"/>
          <w:sz w:val="22"/>
          <w:szCs w:val="22"/>
        </w:rPr>
        <w:t xml:space="preserve">s’appliquera </w:t>
      </w:r>
      <w:r w:rsidR="004A2076" w:rsidRPr="004A2076">
        <w:rPr>
          <w:rFonts w:asciiTheme="majorHAnsi" w:hAnsiTheme="majorHAnsi" w:cs="Arial"/>
          <w:sz w:val="22"/>
          <w:szCs w:val="22"/>
        </w:rPr>
        <w:t>aux administrations et établissements publics</w:t>
      </w:r>
      <w:r>
        <w:rPr>
          <w:rFonts w:asciiTheme="majorHAnsi" w:hAnsiTheme="majorHAnsi" w:cs="Arial"/>
          <w:sz w:val="22"/>
          <w:szCs w:val="22"/>
        </w:rPr>
        <w:t xml:space="preserve"> (hospitaliers, territoriaux, de l’Etat)</w:t>
      </w:r>
      <w:r w:rsidR="004A2076" w:rsidRPr="004A2076">
        <w:rPr>
          <w:rFonts w:asciiTheme="majorHAnsi" w:hAnsiTheme="majorHAnsi" w:cs="Arial"/>
          <w:sz w:val="22"/>
          <w:szCs w:val="22"/>
        </w:rPr>
        <w:t>.</w:t>
      </w:r>
      <w:r w:rsidR="00614A19">
        <w:rPr>
          <w:rFonts w:asciiTheme="majorHAnsi" w:hAnsiTheme="majorHAnsi" w:cs="Arial"/>
          <w:sz w:val="22"/>
          <w:szCs w:val="22"/>
        </w:rPr>
        <w:t xml:space="preserve"> Dès 2022,</w:t>
      </w:r>
      <w:r w:rsidR="004A2076">
        <w:rPr>
          <w:rFonts w:asciiTheme="majorHAnsi" w:hAnsiTheme="majorHAnsi" w:cs="Arial"/>
          <w:sz w:val="22"/>
          <w:szCs w:val="22"/>
        </w:rPr>
        <w:t xml:space="preserve"> l</w:t>
      </w:r>
      <w:r w:rsidR="004A2076" w:rsidRPr="004A2076">
        <w:rPr>
          <w:rFonts w:asciiTheme="majorHAnsi" w:hAnsiTheme="majorHAnsi" w:cs="Arial"/>
          <w:sz w:val="22"/>
          <w:szCs w:val="22"/>
        </w:rPr>
        <w:t>a déclaration automatisée des données sociales unifiées (DADS-U)</w:t>
      </w:r>
      <w:r w:rsidR="00614A19">
        <w:rPr>
          <w:rFonts w:asciiTheme="majorHAnsi" w:hAnsiTheme="majorHAnsi" w:cs="Arial"/>
          <w:sz w:val="22"/>
          <w:szCs w:val="22"/>
        </w:rPr>
        <w:t xml:space="preserve"> et </w:t>
      </w:r>
      <w:r w:rsidR="004A2076">
        <w:rPr>
          <w:rFonts w:asciiTheme="majorHAnsi" w:hAnsiTheme="majorHAnsi" w:cs="Arial"/>
          <w:sz w:val="22"/>
          <w:szCs w:val="22"/>
        </w:rPr>
        <w:t>l</w:t>
      </w:r>
      <w:r w:rsidR="004A2076" w:rsidRPr="004A2076">
        <w:rPr>
          <w:rFonts w:asciiTheme="majorHAnsi" w:hAnsiTheme="majorHAnsi" w:cs="Arial"/>
          <w:sz w:val="22"/>
          <w:szCs w:val="22"/>
        </w:rPr>
        <w:t>a déclaration unifiée des cotisations sociales (DUCS) pour le volet URSSAF</w:t>
      </w:r>
      <w:r w:rsidR="00614A19" w:rsidRPr="004A2076">
        <w:rPr>
          <w:rFonts w:asciiTheme="majorHAnsi" w:hAnsiTheme="majorHAnsi" w:cs="Arial"/>
          <w:sz w:val="22"/>
          <w:szCs w:val="22"/>
        </w:rPr>
        <w:t xml:space="preserve"> disparaîtront définitivement. </w:t>
      </w:r>
      <w:r w:rsidR="00614A19">
        <w:rPr>
          <w:rFonts w:asciiTheme="majorHAnsi" w:hAnsiTheme="majorHAnsi" w:cs="Arial"/>
          <w:sz w:val="22"/>
          <w:szCs w:val="22"/>
        </w:rPr>
        <w:t xml:space="preserve">La DSN permettra également à la fonction publique de s’affranchir de la </w:t>
      </w:r>
      <w:r w:rsidR="00614A19" w:rsidRPr="004A2076">
        <w:rPr>
          <w:rFonts w:asciiTheme="majorHAnsi" w:hAnsiTheme="majorHAnsi" w:cs="Arial"/>
          <w:sz w:val="22"/>
          <w:szCs w:val="22"/>
        </w:rPr>
        <w:t>transmission des informations relatives au prélèvement à la source</w:t>
      </w:r>
      <w:r w:rsidR="002750F6">
        <w:rPr>
          <w:rFonts w:asciiTheme="majorHAnsi" w:hAnsiTheme="majorHAnsi" w:cs="Arial"/>
          <w:sz w:val="22"/>
          <w:szCs w:val="22"/>
        </w:rPr>
        <w:t xml:space="preserve"> via le dispositif </w:t>
      </w:r>
      <w:r w:rsidR="009D3CD4">
        <w:rPr>
          <w:rFonts w:asciiTheme="majorHAnsi" w:hAnsiTheme="majorHAnsi" w:cs="Arial"/>
          <w:sz w:val="22"/>
          <w:szCs w:val="22"/>
        </w:rPr>
        <w:t>transitoire PASRAU</w:t>
      </w:r>
      <w:r w:rsidR="00614A19">
        <w:rPr>
          <w:rFonts w:asciiTheme="majorHAnsi" w:hAnsiTheme="majorHAnsi" w:cs="Arial"/>
          <w:sz w:val="22"/>
          <w:szCs w:val="22"/>
        </w:rPr>
        <w:t xml:space="preserve">. </w:t>
      </w:r>
      <w:r>
        <w:rPr>
          <w:rFonts w:asciiTheme="majorHAnsi" w:hAnsiTheme="majorHAnsi" w:cs="Arial"/>
          <w:sz w:val="22"/>
          <w:szCs w:val="22"/>
        </w:rPr>
        <w:t xml:space="preserve"> </w:t>
      </w:r>
    </w:p>
    <w:p w14:paraId="50B9B81A" w14:textId="63B778A7" w:rsidR="003D0EF5" w:rsidRDefault="003D0EF5" w:rsidP="00614A19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En 2022, </w:t>
      </w:r>
      <w:r w:rsidR="00CD0397">
        <w:rPr>
          <w:rFonts w:asciiTheme="majorHAnsi" w:hAnsiTheme="majorHAnsi" w:cs="Arial"/>
          <w:sz w:val="22"/>
          <w:szCs w:val="22"/>
        </w:rPr>
        <w:t xml:space="preserve">70 000 </w:t>
      </w:r>
      <w:r>
        <w:rPr>
          <w:rFonts w:asciiTheme="majorHAnsi" w:hAnsiTheme="majorHAnsi" w:cs="Arial"/>
          <w:sz w:val="22"/>
          <w:szCs w:val="22"/>
        </w:rPr>
        <w:t xml:space="preserve">établissements </w:t>
      </w:r>
      <w:r w:rsidR="00976149">
        <w:rPr>
          <w:rFonts w:asciiTheme="majorHAnsi" w:hAnsiTheme="majorHAnsi" w:cs="Arial"/>
          <w:sz w:val="22"/>
          <w:szCs w:val="22"/>
        </w:rPr>
        <w:t>seront en DSN, représentant</w:t>
      </w:r>
      <w:r>
        <w:rPr>
          <w:rFonts w:asciiTheme="majorHAnsi" w:hAnsiTheme="majorHAnsi" w:cs="Arial"/>
          <w:sz w:val="22"/>
          <w:szCs w:val="22"/>
        </w:rPr>
        <w:t xml:space="preserve"> 5</w:t>
      </w:r>
      <w:r w:rsidR="00EF0BE1">
        <w:rPr>
          <w:rFonts w:asciiTheme="majorHAnsi" w:hAnsiTheme="majorHAnsi" w:cs="Arial"/>
          <w:sz w:val="22"/>
          <w:szCs w:val="22"/>
        </w:rPr>
        <w:t>,6</w:t>
      </w:r>
      <w:r>
        <w:rPr>
          <w:rFonts w:asciiTheme="majorHAnsi" w:hAnsiTheme="majorHAnsi" w:cs="Arial"/>
          <w:sz w:val="22"/>
          <w:szCs w:val="22"/>
        </w:rPr>
        <w:t xml:space="preserve"> millions d’agents</w:t>
      </w:r>
      <w:r w:rsidR="00976149">
        <w:rPr>
          <w:rFonts w:asciiTheme="majorHAnsi" w:hAnsiTheme="majorHAnsi" w:cs="Arial"/>
          <w:sz w:val="22"/>
          <w:szCs w:val="22"/>
        </w:rPr>
        <w:t>.</w:t>
      </w:r>
    </w:p>
    <w:p w14:paraId="7FD892A3" w14:textId="77777777" w:rsidR="001241A9" w:rsidRPr="0042638B" w:rsidRDefault="001241A9" w:rsidP="00614A19">
      <w:pPr>
        <w:jc w:val="both"/>
        <w:rPr>
          <w:rFonts w:asciiTheme="majorHAnsi" w:hAnsiTheme="majorHAnsi" w:cs="Arial"/>
          <w:sz w:val="16"/>
          <w:szCs w:val="16"/>
        </w:rPr>
      </w:pPr>
    </w:p>
    <w:p w14:paraId="327E6536" w14:textId="77777777" w:rsidR="001241A9" w:rsidRPr="00E833D6" w:rsidRDefault="001241A9" w:rsidP="001241A9">
      <w:pPr>
        <w:jc w:val="both"/>
        <w:rPr>
          <w:rFonts w:asciiTheme="majorHAnsi" w:hAnsiTheme="majorHAnsi" w:cs="Arial"/>
          <w:sz w:val="22"/>
          <w:szCs w:val="22"/>
        </w:rPr>
      </w:pPr>
      <w:r w:rsidRPr="00E833D6">
        <w:rPr>
          <w:rFonts w:asciiTheme="majorHAnsi" w:hAnsiTheme="majorHAnsi" w:cs="Arial"/>
          <w:sz w:val="22"/>
          <w:szCs w:val="22"/>
        </w:rPr>
        <w:t>La DSN utilise les données de la paie pour remplacer les démarches déclaratives par un flux informatique unique, mensuel et sécurisé via le logiciel de paie. Les données servent à la fois au recouvrement des cotisations, à l’ouverture et au calcul des droits des salariés. Déclarées au plus près de leur émission, les informations gagnent en fiabilité, permettant de sécuriser les droits des employés.</w:t>
      </w:r>
    </w:p>
    <w:p w14:paraId="35FD94F8" w14:textId="77777777" w:rsidR="001241A9" w:rsidRPr="001241A9" w:rsidRDefault="001241A9" w:rsidP="00614A19">
      <w:pPr>
        <w:jc w:val="both"/>
        <w:rPr>
          <w:rFonts w:asciiTheme="majorHAnsi" w:hAnsiTheme="majorHAnsi" w:cs="Arial"/>
          <w:sz w:val="22"/>
          <w:szCs w:val="22"/>
        </w:rPr>
      </w:pPr>
      <w:r w:rsidRPr="00E833D6">
        <w:rPr>
          <w:rFonts w:asciiTheme="majorHAnsi" w:hAnsiTheme="majorHAnsi" w:cs="Arial"/>
          <w:sz w:val="22"/>
          <w:szCs w:val="22"/>
        </w:rPr>
        <w:t>La collecte des données est mutualisée et partagée avec les organismes de protection sociale selon leurs besoins.</w:t>
      </w:r>
    </w:p>
    <w:p w14:paraId="5C48CB74" w14:textId="77777777" w:rsidR="001F2946" w:rsidRDefault="001F2946" w:rsidP="00614A19">
      <w:pPr>
        <w:jc w:val="both"/>
        <w:rPr>
          <w:rFonts w:asciiTheme="majorHAnsi" w:hAnsiTheme="majorHAnsi" w:cs="Arial"/>
          <w:sz w:val="22"/>
          <w:szCs w:val="22"/>
        </w:rPr>
      </w:pPr>
    </w:p>
    <w:p w14:paraId="6FB2076A" w14:textId="77777777" w:rsidR="001F2946" w:rsidRDefault="001F2946" w:rsidP="00614A19">
      <w:pPr>
        <w:jc w:val="both"/>
        <w:rPr>
          <w:rFonts w:asciiTheme="majorHAnsi" w:hAnsiTheme="majorHAnsi" w:cs="Arial"/>
          <w:sz w:val="22"/>
          <w:szCs w:val="22"/>
        </w:rPr>
      </w:pPr>
    </w:p>
    <w:p w14:paraId="1BD36B64" w14:textId="77777777" w:rsidR="002C3BC7" w:rsidRDefault="00F11FB9" w:rsidP="002C3BC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  <w:r w:rsidRPr="00554E82">
        <w:rPr>
          <w:rFonts w:asciiTheme="majorHAnsi" w:hAnsiTheme="majorHAnsi" w:cs="Arial"/>
          <w:b/>
          <w:color w:val="1F497D" w:themeColor="text2"/>
          <w:sz w:val="22"/>
          <w:szCs w:val="22"/>
        </w:rPr>
        <w:t xml:space="preserve">Une </w:t>
      </w:r>
      <w:r>
        <w:rPr>
          <w:rFonts w:asciiTheme="majorHAnsi" w:hAnsiTheme="majorHAnsi" w:cs="Arial"/>
          <w:b/>
          <w:color w:val="1F497D" w:themeColor="text2"/>
          <w:sz w:val="22"/>
          <w:szCs w:val="22"/>
        </w:rPr>
        <w:t>phase pilote constructive</w:t>
      </w:r>
    </w:p>
    <w:p w14:paraId="18CB94CD" w14:textId="77777777" w:rsidR="00FA3959" w:rsidRPr="00FA3959" w:rsidRDefault="00FA3959" w:rsidP="00FA3959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</w:pPr>
    </w:p>
    <w:p w14:paraId="55183C29" w14:textId="77777777" w:rsidR="00FA3959" w:rsidRPr="00FA3959" w:rsidRDefault="00FA3959" w:rsidP="00FA3959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</w:pPr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 xml:space="preserve">A l’instar de tous les projets d’envergure portés par le GIP-MDS, des phases pilote sont organisées pour les trois fonctions publiques afin de s’assurer que le </w:t>
      </w:r>
      <w:r w:rsidRPr="00FA3959">
        <w:rPr>
          <w:rFonts w:ascii="Calibri" w:eastAsia="Times New Roman" w:hAnsi="Calibri" w:cs="Times New Roman"/>
          <w:b/>
          <w:color w:val="000000"/>
          <w:sz w:val="22"/>
          <w:szCs w:val="22"/>
          <w:lang w:eastAsia="fr-FR"/>
        </w:rPr>
        <w:t>circuit est maîtrisé de bout en bout</w:t>
      </w:r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>.</w:t>
      </w:r>
    </w:p>
    <w:p w14:paraId="1DC8D9DF" w14:textId="77777777" w:rsidR="00FA3959" w:rsidRPr="00FA3959" w:rsidRDefault="00FA3959" w:rsidP="00FA3959">
      <w:pPr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</w:p>
    <w:p w14:paraId="3D5B05D8" w14:textId="77777777" w:rsidR="00FA3959" w:rsidRPr="00FA3959" w:rsidRDefault="00FA3959" w:rsidP="00FA3959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</w:pPr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 xml:space="preserve">Ces phases pilote permettent de </w:t>
      </w:r>
      <w:r w:rsidRPr="00FA3959">
        <w:rPr>
          <w:rFonts w:ascii="Calibri" w:eastAsia="Times New Roman" w:hAnsi="Calibri" w:cs="Times New Roman"/>
          <w:b/>
          <w:color w:val="000000"/>
          <w:sz w:val="22"/>
          <w:szCs w:val="22"/>
          <w:lang w:eastAsia="fr-FR"/>
        </w:rPr>
        <w:t>sécuriser le dispositif avant la généralisation</w:t>
      </w:r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>. Les cas particuliers ou des ajustements à opérer sont ainsi anticipés et les logiciels de paie adaptés.</w:t>
      </w:r>
    </w:p>
    <w:p w14:paraId="67FC1465" w14:textId="77777777" w:rsidR="00FA3959" w:rsidRPr="00FA3959" w:rsidRDefault="00FA3959" w:rsidP="00FA3959">
      <w:pPr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</w:p>
    <w:p w14:paraId="4CA75A3B" w14:textId="6D90EC32" w:rsidR="00FA3959" w:rsidRPr="00FA3959" w:rsidRDefault="00FA3959" w:rsidP="00FA3959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</w:pPr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lastRenderedPageBreak/>
        <w:t xml:space="preserve">Les employeurs ont ainsi </w:t>
      </w:r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 xml:space="preserve">l’occasion de </w:t>
      </w:r>
      <w:r w:rsidRPr="00FA3959">
        <w:rPr>
          <w:rFonts w:ascii="Calibri" w:eastAsia="Times New Roman" w:hAnsi="Calibri" w:cs="Times New Roman"/>
          <w:b/>
          <w:color w:val="000000"/>
          <w:sz w:val="22"/>
          <w:szCs w:val="22"/>
          <w:lang w:eastAsia="fr-FR"/>
        </w:rPr>
        <w:t>se mettre en situation réelle de dépôt de DSN</w:t>
      </w:r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 xml:space="preserve"> en lien avec les organismes de protection sociale partenaires, principalement</w:t>
      </w:r>
      <w:r w:rsidR="00A7391C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 xml:space="preserve"> : </w:t>
      </w:r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 xml:space="preserve">RAFP, </w:t>
      </w:r>
      <w:proofErr w:type="spellStart"/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>Ircantec</w:t>
      </w:r>
      <w:proofErr w:type="spellEnd"/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>, CNRACL, URSSAF</w:t>
      </w:r>
      <w:r w:rsidR="00B0744E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>, DGFIP</w:t>
      </w:r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>.</w:t>
      </w:r>
    </w:p>
    <w:p w14:paraId="4B3D66B8" w14:textId="77777777" w:rsidR="00FA3959" w:rsidRPr="00FA3959" w:rsidRDefault="00FA3959" w:rsidP="00FA3959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</w:pPr>
      <w:r w:rsidRPr="00FA3959">
        <w:rPr>
          <w:rFonts w:ascii="Calibri" w:eastAsia="Times New Roman" w:hAnsi="Calibri" w:cs="Times New Roman"/>
          <w:color w:val="000000"/>
          <w:sz w:val="22"/>
          <w:szCs w:val="22"/>
          <w:lang w:eastAsia="fr-FR"/>
        </w:rPr>
        <w:t>Dans cette phase de test, les établissements publics bénéficient de l’expertise des acteurs du GIP-MDS et de réunions en régions avec les organismes de protection sociale pour les accompagner au plus près.</w:t>
      </w:r>
    </w:p>
    <w:p w14:paraId="0D9A8028" w14:textId="77777777" w:rsidR="00FA3959" w:rsidRPr="0042638B" w:rsidRDefault="00FA3959" w:rsidP="00FA3959">
      <w:pPr>
        <w:jc w:val="both"/>
        <w:rPr>
          <w:rFonts w:ascii="Calibri" w:eastAsia="Times New Roman" w:hAnsi="Calibri" w:cs="Times New Roman"/>
          <w:color w:val="000000"/>
          <w:sz w:val="16"/>
          <w:szCs w:val="16"/>
          <w:lang w:eastAsia="fr-FR"/>
        </w:rPr>
      </w:pPr>
    </w:p>
    <w:p w14:paraId="7657454B" w14:textId="6BC228D5" w:rsidR="00D636D3" w:rsidRDefault="00F11FB9" w:rsidP="00F11FB9">
      <w:pPr>
        <w:jc w:val="both"/>
        <w:rPr>
          <w:rFonts w:ascii="Calibri" w:eastAsia="Cambria" w:hAnsi="Calibri" w:cs="Arial"/>
          <w:sz w:val="22"/>
          <w:szCs w:val="22"/>
        </w:rPr>
      </w:pPr>
      <w:r w:rsidRPr="00FA3959">
        <w:rPr>
          <w:rFonts w:ascii="Calibri" w:eastAsia="Cambria" w:hAnsi="Calibri" w:cs="Arial"/>
          <w:sz w:val="22"/>
          <w:szCs w:val="22"/>
        </w:rPr>
        <w:t xml:space="preserve">Une première phase pilote a débuté en </w:t>
      </w:r>
      <w:r w:rsidR="00A7391C">
        <w:rPr>
          <w:rFonts w:ascii="Calibri" w:eastAsia="Cambria" w:hAnsi="Calibri" w:cs="Arial"/>
          <w:sz w:val="22"/>
          <w:szCs w:val="22"/>
        </w:rPr>
        <w:t>juin</w:t>
      </w:r>
      <w:r w:rsidR="00A7391C" w:rsidRPr="00FA3959">
        <w:rPr>
          <w:rFonts w:ascii="Calibri" w:eastAsia="Cambria" w:hAnsi="Calibri" w:cs="Arial"/>
          <w:sz w:val="22"/>
          <w:szCs w:val="22"/>
        </w:rPr>
        <w:t xml:space="preserve"> </w:t>
      </w:r>
      <w:r w:rsidRPr="00FA3959">
        <w:rPr>
          <w:rFonts w:ascii="Calibri" w:eastAsia="Cambria" w:hAnsi="Calibri" w:cs="Arial"/>
          <w:sz w:val="22"/>
          <w:szCs w:val="22"/>
        </w:rPr>
        <w:t xml:space="preserve">2019, notamment pour les établissements concernés par l’échéance de 2020. </w:t>
      </w:r>
      <w:r w:rsidR="003E5F45" w:rsidRPr="00FA3959">
        <w:rPr>
          <w:rFonts w:ascii="Calibri" w:eastAsia="Cambria" w:hAnsi="Calibri" w:cs="Arial"/>
          <w:sz w:val="22"/>
          <w:szCs w:val="22"/>
        </w:rPr>
        <w:t xml:space="preserve">Au 20 octobre, 156 dépôts DSN ont été effectués : 142 dépôts pour la fonction publique territoriale, 7 pour la fonction </w:t>
      </w:r>
      <w:r w:rsidR="003E5F45" w:rsidRPr="00FA3959">
        <w:rPr>
          <w:rFonts w:ascii="Calibri" w:eastAsia="Cambria" w:hAnsi="Calibri" w:cs="Arial"/>
          <w:sz w:val="22"/>
          <w:szCs w:val="22"/>
        </w:rPr>
        <w:t>publique d’Etat et 7 pour la fonction publique hospitalière.</w:t>
      </w:r>
      <w:r w:rsidR="003E5F45">
        <w:rPr>
          <w:rFonts w:ascii="Calibri" w:eastAsia="Cambria" w:hAnsi="Calibri" w:cs="Arial"/>
          <w:sz w:val="22"/>
          <w:szCs w:val="22"/>
        </w:rPr>
        <w:t xml:space="preserve"> </w:t>
      </w:r>
      <w:r w:rsidRPr="00FA3959">
        <w:rPr>
          <w:rFonts w:ascii="Calibri" w:eastAsia="Cambria" w:hAnsi="Calibri" w:cs="Arial"/>
          <w:sz w:val="22"/>
          <w:szCs w:val="22"/>
        </w:rPr>
        <w:t xml:space="preserve">Réunissant les parties prenantes, </w:t>
      </w:r>
      <w:r w:rsidR="003E5F45">
        <w:rPr>
          <w:rFonts w:ascii="Calibri" w:eastAsia="Cambria" w:hAnsi="Calibri" w:cs="Arial"/>
          <w:sz w:val="22"/>
          <w:szCs w:val="22"/>
        </w:rPr>
        <w:t>un</w:t>
      </w:r>
      <w:r w:rsidRPr="00FA3959">
        <w:rPr>
          <w:rFonts w:ascii="Calibri" w:eastAsia="Cambria" w:hAnsi="Calibri" w:cs="Arial"/>
          <w:sz w:val="22"/>
          <w:szCs w:val="22"/>
        </w:rPr>
        <w:t xml:space="preserve"> « club des pilotes » a confirmé </w:t>
      </w:r>
      <w:r w:rsidR="00D636D3">
        <w:rPr>
          <w:rFonts w:ascii="Calibri" w:eastAsia="Cambria" w:hAnsi="Calibri" w:cs="Arial"/>
          <w:sz w:val="22"/>
          <w:szCs w:val="22"/>
        </w:rPr>
        <w:t xml:space="preserve">la grande utilité du </w:t>
      </w:r>
      <w:r w:rsidRPr="00FA3959">
        <w:rPr>
          <w:rFonts w:ascii="Calibri" w:eastAsia="Cambria" w:hAnsi="Calibri" w:cs="Arial"/>
          <w:sz w:val="22"/>
          <w:szCs w:val="22"/>
        </w:rPr>
        <w:t>dispositif</w:t>
      </w:r>
      <w:r w:rsidR="00D636D3">
        <w:rPr>
          <w:rFonts w:ascii="Calibri" w:eastAsia="Cambria" w:hAnsi="Calibri" w:cs="Arial"/>
          <w:sz w:val="22"/>
          <w:szCs w:val="22"/>
        </w:rPr>
        <w:t>. Outre le fait de conforter les pilotes, il</w:t>
      </w:r>
      <w:r w:rsidR="00D636D3" w:rsidRPr="00E833D6">
        <w:rPr>
          <w:rFonts w:ascii="Calibri" w:eastAsia="Cambria" w:hAnsi="Calibri" w:cs="Arial"/>
          <w:sz w:val="22"/>
          <w:szCs w:val="22"/>
        </w:rPr>
        <w:t xml:space="preserve"> a </w:t>
      </w:r>
      <w:r w:rsidR="00D636D3">
        <w:rPr>
          <w:rFonts w:ascii="Calibri" w:eastAsia="Cambria" w:hAnsi="Calibri" w:cs="Arial"/>
          <w:sz w:val="22"/>
          <w:szCs w:val="22"/>
        </w:rPr>
        <w:t xml:space="preserve">aussi </w:t>
      </w:r>
      <w:r w:rsidR="00D636D3" w:rsidRPr="00E833D6">
        <w:rPr>
          <w:rFonts w:ascii="Calibri" w:eastAsia="Cambria" w:hAnsi="Calibri" w:cs="Arial"/>
          <w:sz w:val="22"/>
          <w:szCs w:val="22"/>
        </w:rPr>
        <w:t xml:space="preserve">mis </w:t>
      </w:r>
      <w:r w:rsidR="00D636D3">
        <w:rPr>
          <w:rFonts w:ascii="Calibri" w:eastAsia="Cambria" w:hAnsi="Calibri" w:cs="Arial"/>
          <w:sz w:val="22"/>
          <w:szCs w:val="22"/>
        </w:rPr>
        <w:t xml:space="preserve">à jour des spécificités </w:t>
      </w:r>
      <w:r w:rsidR="00236068">
        <w:rPr>
          <w:rFonts w:ascii="Calibri" w:eastAsia="Cambria" w:hAnsi="Calibri" w:cs="Arial"/>
          <w:sz w:val="22"/>
          <w:szCs w:val="22"/>
        </w:rPr>
        <w:t>liées</w:t>
      </w:r>
      <w:r w:rsidR="00D636D3">
        <w:rPr>
          <w:rFonts w:ascii="Calibri" w:eastAsia="Cambria" w:hAnsi="Calibri" w:cs="Arial"/>
          <w:sz w:val="22"/>
          <w:szCs w:val="22"/>
        </w:rPr>
        <w:t xml:space="preserve"> aux disparités des pratiques qui n’avaient pas été identifiées</w:t>
      </w:r>
      <w:r w:rsidR="00236068">
        <w:rPr>
          <w:rFonts w:ascii="Calibri" w:eastAsia="Cambria" w:hAnsi="Calibri" w:cs="Arial"/>
          <w:sz w:val="22"/>
          <w:szCs w:val="22"/>
        </w:rPr>
        <w:t xml:space="preserve"> dans les ateliers préparatoires et qui se sont révélés</w:t>
      </w:r>
      <w:r w:rsidR="00D636D3">
        <w:rPr>
          <w:rFonts w:ascii="Calibri" w:eastAsia="Cambria" w:hAnsi="Calibri" w:cs="Arial"/>
          <w:sz w:val="22"/>
          <w:szCs w:val="22"/>
        </w:rPr>
        <w:t xml:space="preserve"> « e</w:t>
      </w:r>
      <w:r w:rsidR="00236068">
        <w:rPr>
          <w:rFonts w:ascii="Calibri" w:eastAsia="Cambria" w:hAnsi="Calibri" w:cs="Arial"/>
          <w:sz w:val="22"/>
          <w:szCs w:val="22"/>
        </w:rPr>
        <w:t>n metta</w:t>
      </w:r>
      <w:r w:rsidR="00D636D3">
        <w:rPr>
          <w:rFonts w:ascii="Calibri" w:eastAsia="Cambria" w:hAnsi="Calibri" w:cs="Arial"/>
          <w:sz w:val="22"/>
          <w:szCs w:val="22"/>
        </w:rPr>
        <w:t>nt la main dans le cambouis »</w:t>
      </w:r>
      <w:r w:rsidRPr="00FA3959">
        <w:rPr>
          <w:rFonts w:ascii="Calibri" w:eastAsia="Cambria" w:hAnsi="Calibri" w:cs="Arial"/>
          <w:sz w:val="22"/>
          <w:szCs w:val="22"/>
        </w:rPr>
        <w:t>.</w:t>
      </w:r>
    </w:p>
    <w:p w14:paraId="0D0A37F9" w14:textId="77777777" w:rsidR="00D636D3" w:rsidRDefault="00D636D3" w:rsidP="00F11FB9">
      <w:pPr>
        <w:jc w:val="both"/>
        <w:rPr>
          <w:rFonts w:ascii="Calibri" w:eastAsia="Cambria" w:hAnsi="Calibri" w:cs="Arial"/>
          <w:sz w:val="22"/>
          <w:szCs w:val="22"/>
        </w:rPr>
      </w:pPr>
    </w:p>
    <w:p w14:paraId="424C08E8" w14:textId="77777777" w:rsidR="002C3BC7" w:rsidRPr="00FA3959" w:rsidRDefault="002C3BC7" w:rsidP="002C3BC7">
      <w:pPr>
        <w:jc w:val="both"/>
        <w:rPr>
          <w:rFonts w:ascii="Calibri" w:eastAsia="Times New Roman" w:hAnsi="Calibri" w:cs="Times New Roman"/>
          <w:color w:val="000000"/>
          <w:lang w:eastAsia="fr-FR"/>
        </w:rPr>
      </w:pPr>
    </w:p>
    <w:p w14:paraId="79FE8D16" w14:textId="77777777" w:rsidR="002C3BC7" w:rsidRDefault="002C3BC7" w:rsidP="002C3CB8">
      <w:pPr>
        <w:jc w:val="both"/>
        <w:rPr>
          <w:rFonts w:asciiTheme="majorHAnsi" w:hAnsiTheme="majorHAnsi" w:cs="Arial"/>
          <w:b/>
          <w:color w:val="1F497D" w:themeColor="text2"/>
          <w:sz w:val="22"/>
          <w:szCs w:val="22"/>
        </w:rPr>
      </w:pPr>
      <w:r>
        <w:rPr>
          <w:rFonts w:asciiTheme="majorHAnsi" w:hAnsiTheme="majorHAnsi" w:cs="Arial"/>
          <w:b/>
          <w:color w:val="1F497D" w:themeColor="text2"/>
          <w:sz w:val="22"/>
          <w:szCs w:val="22"/>
        </w:rPr>
        <w:t>Une obligation à anticiper !</w:t>
      </w:r>
    </w:p>
    <w:p w14:paraId="357778E8" w14:textId="77777777" w:rsidR="002C3BC7" w:rsidRPr="0042638B" w:rsidRDefault="002C3BC7" w:rsidP="002C3CB8">
      <w:pPr>
        <w:jc w:val="both"/>
        <w:rPr>
          <w:rFonts w:asciiTheme="majorHAnsi" w:hAnsiTheme="majorHAnsi" w:cs="Arial"/>
          <w:b/>
          <w:color w:val="1F497D" w:themeColor="text2"/>
          <w:sz w:val="18"/>
          <w:szCs w:val="18"/>
        </w:rPr>
      </w:pPr>
    </w:p>
    <w:p w14:paraId="4366361F" w14:textId="77777777" w:rsidR="002C3CB8" w:rsidRPr="00FA3959" w:rsidRDefault="002C3CB8" w:rsidP="002C3CB8">
      <w:pPr>
        <w:jc w:val="both"/>
        <w:rPr>
          <w:rFonts w:ascii="Calibri" w:eastAsia="Cambria" w:hAnsi="Calibri" w:cs="Arial"/>
          <w:sz w:val="22"/>
          <w:szCs w:val="22"/>
        </w:rPr>
      </w:pPr>
      <w:r w:rsidRPr="00FA3959">
        <w:rPr>
          <w:rFonts w:ascii="Calibri" w:eastAsia="Cambria" w:hAnsi="Calibri" w:cs="Arial"/>
          <w:sz w:val="22"/>
          <w:szCs w:val="22"/>
        </w:rPr>
        <w:t xml:space="preserve">Le bilan de ce pilote montre qu’il est essentiel d’anticiper cette obligation et de l’appréhender comme un véritable projet. </w:t>
      </w:r>
      <w:r w:rsidRPr="00E833D6">
        <w:rPr>
          <w:rFonts w:ascii="Calibri" w:eastAsia="Cambria" w:hAnsi="Calibri" w:cs="Arial"/>
          <w:b/>
          <w:sz w:val="22"/>
          <w:szCs w:val="22"/>
        </w:rPr>
        <w:t xml:space="preserve">Porté par la </w:t>
      </w:r>
      <w:r w:rsidRPr="00E833D6">
        <w:rPr>
          <w:rFonts w:ascii="Calibri" w:eastAsia="Cambria" w:hAnsi="Calibri" w:cs="Arial"/>
          <w:b/>
          <w:sz w:val="22"/>
          <w:szCs w:val="22"/>
        </w:rPr>
        <w:t>Direction de l’établissement, ce projet doit fixer un partage d’objectifs, une ressource dédiée, le recours à un logiciel adapté</w:t>
      </w:r>
      <w:r w:rsidRPr="00FA3959">
        <w:rPr>
          <w:rFonts w:ascii="Calibri" w:eastAsia="Cambria" w:hAnsi="Calibri" w:cs="Arial"/>
          <w:sz w:val="22"/>
          <w:szCs w:val="22"/>
        </w:rPr>
        <w:t xml:space="preserve"> (y compris parmi des solutions en ligne qui ne nécessitent pas d’investissement coûteux).</w:t>
      </w:r>
    </w:p>
    <w:p w14:paraId="433714EF" w14:textId="77777777" w:rsidR="00FA3959" w:rsidRPr="0042638B" w:rsidRDefault="00FA3959" w:rsidP="00FA3959">
      <w:pPr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</w:p>
    <w:p w14:paraId="332AEE37" w14:textId="12A55829" w:rsidR="002C3BC7" w:rsidRPr="00FA3959" w:rsidRDefault="002C3BC7" w:rsidP="002C3BC7">
      <w:pPr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>Les modalités d’utilisation de la plateforme de tests s</w:t>
      </w:r>
      <w:r w:rsidR="00A7391C">
        <w:rPr>
          <w:rFonts w:ascii="Calibri" w:eastAsia="Times New Roman" w:hAnsi="Calibri" w:cs="Times New Roman"/>
          <w:sz w:val="22"/>
          <w:szCs w:val="22"/>
          <w:lang w:eastAsia="fr-FR"/>
        </w:rPr>
        <w:t>on</w:t>
      </w:r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>t accessible</w:t>
      </w:r>
      <w:r w:rsidR="00A7391C">
        <w:rPr>
          <w:rFonts w:ascii="Calibri" w:eastAsia="Times New Roman" w:hAnsi="Calibri" w:cs="Times New Roman"/>
          <w:sz w:val="22"/>
          <w:szCs w:val="22"/>
          <w:lang w:eastAsia="fr-FR"/>
        </w:rPr>
        <w:t>s</w:t>
      </w:r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à ce lien :</w:t>
      </w:r>
    </w:p>
    <w:p w14:paraId="11018235" w14:textId="77777777" w:rsidR="002C3BC7" w:rsidRPr="00FA3959" w:rsidRDefault="009E479F" w:rsidP="002C3BC7">
      <w:pPr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hyperlink r:id="rId7" w:history="1">
        <w:r w:rsidR="002C3BC7" w:rsidRPr="00FA3959">
          <w:rPr>
            <w:rFonts w:ascii="Calibri" w:eastAsia="Times New Roman" w:hAnsi="Calibri" w:cs="Times New Roman"/>
            <w:color w:val="0563C1"/>
            <w:sz w:val="22"/>
            <w:szCs w:val="22"/>
            <w:u w:val="single"/>
            <w:lang w:eastAsia="fr-FR"/>
          </w:rPr>
          <w:t>http://www.dsn-info.fr/documentation/notice-inscription-ptf-test.pdf</w:t>
        </w:r>
      </w:hyperlink>
    </w:p>
    <w:p w14:paraId="01ECF703" w14:textId="77777777" w:rsidR="002C3BC7" w:rsidRPr="00FA3959" w:rsidRDefault="002C3BC7" w:rsidP="002C3BC7">
      <w:pPr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</w:p>
    <w:p w14:paraId="7ACCD3B3" w14:textId="77777777" w:rsidR="002C3BC7" w:rsidRPr="00FA3959" w:rsidRDefault="002C3BC7" w:rsidP="002C3BC7">
      <w:pPr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>Dans la rubrique « être pilote DSN Fonction Publique » sur dsn-info.fr, sont précisées :</w:t>
      </w:r>
    </w:p>
    <w:p w14:paraId="1EE28147" w14:textId="77777777" w:rsidR="002C3BC7" w:rsidRPr="00FA3959" w:rsidRDefault="002C3BC7" w:rsidP="002C3BC7">
      <w:pPr>
        <w:numPr>
          <w:ilvl w:val="0"/>
          <w:numId w:val="12"/>
        </w:numPr>
        <w:contextualSpacing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proofErr w:type="gramStart"/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>les</w:t>
      </w:r>
      <w:proofErr w:type="gramEnd"/>
      <w:r w:rsidR="00FA3959" w:rsidRPr="00FA3959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différentes phases du pilote au cours de l’année 2019</w:t>
      </w:r>
    </w:p>
    <w:p w14:paraId="728645F3" w14:textId="77777777" w:rsidR="002C3BC7" w:rsidRPr="00FA3959" w:rsidRDefault="002C3BC7" w:rsidP="002C3BC7">
      <w:pPr>
        <w:numPr>
          <w:ilvl w:val="0"/>
          <w:numId w:val="12"/>
        </w:numPr>
        <w:contextualSpacing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proofErr w:type="gramStart"/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>les</w:t>
      </w:r>
      <w:proofErr w:type="gramEnd"/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modalités de participation</w:t>
      </w:r>
    </w:p>
    <w:p w14:paraId="24366E38" w14:textId="77777777" w:rsidR="002C3BC7" w:rsidRPr="00FA3959" w:rsidRDefault="002C3BC7" w:rsidP="002C3BC7">
      <w:pPr>
        <w:numPr>
          <w:ilvl w:val="0"/>
          <w:numId w:val="12"/>
        </w:numPr>
        <w:contextualSpacing/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proofErr w:type="gramStart"/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>les</w:t>
      </w:r>
      <w:proofErr w:type="gramEnd"/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modalités d’accompagnement</w:t>
      </w:r>
    </w:p>
    <w:p w14:paraId="572F2665" w14:textId="77777777" w:rsidR="002C3BC7" w:rsidRPr="0042638B" w:rsidRDefault="002C3BC7" w:rsidP="002C3BC7">
      <w:pPr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</w:p>
    <w:p w14:paraId="46E0D88B" w14:textId="77777777" w:rsidR="00FA3959" w:rsidRPr="00FA3959" w:rsidRDefault="00FA3959" w:rsidP="00FA3959">
      <w:pPr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 xml:space="preserve">Pour être pris en compte, les dépôts doivent être effectués </w:t>
      </w:r>
      <w:r w:rsidRPr="00FA3959">
        <w:rPr>
          <w:rFonts w:ascii="Calibri" w:eastAsia="Times New Roman" w:hAnsi="Calibri" w:cs="Times New Roman"/>
          <w:b/>
          <w:bCs/>
          <w:sz w:val="22"/>
          <w:szCs w:val="22"/>
          <w:lang w:eastAsia="fr-FR"/>
        </w:rPr>
        <w:t>sur la plateforme de test</w:t>
      </w:r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(</w:t>
      </w:r>
      <w:hyperlink r:id="rId8" w:history="1">
        <w:r w:rsidRPr="00FA3959">
          <w:rPr>
            <w:rFonts w:ascii="Calibri" w:eastAsia="Times New Roman" w:hAnsi="Calibri" w:cs="Times New Roman"/>
            <w:color w:val="0563C1"/>
            <w:sz w:val="22"/>
            <w:szCs w:val="22"/>
            <w:u w:val="single"/>
            <w:lang w:eastAsia="fr-FR"/>
          </w:rPr>
          <w:t>https://test.net-entreprises.fr/</w:t>
        </w:r>
      </w:hyperlink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>) et non sur la plateforme de qualification</w:t>
      </w:r>
    </w:p>
    <w:p w14:paraId="3AE01CE5" w14:textId="77777777" w:rsidR="00FA3959" w:rsidRPr="00FA3959" w:rsidRDefault="00FA3959" w:rsidP="00FA3959">
      <w:pPr>
        <w:jc w:val="both"/>
        <w:rPr>
          <w:rFonts w:ascii="Calibri" w:eastAsia="Times New Roman" w:hAnsi="Calibri" w:cs="Times New Roman"/>
          <w:sz w:val="16"/>
          <w:szCs w:val="16"/>
          <w:lang w:eastAsia="fr-FR"/>
        </w:rPr>
      </w:pPr>
    </w:p>
    <w:p w14:paraId="35F33DF4" w14:textId="4232059E" w:rsidR="009E479F" w:rsidRPr="00FA3959" w:rsidRDefault="00FA3959" w:rsidP="00FA3959">
      <w:pPr>
        <w:jc w:val="both"/>
        <w:rPr>
          <w:rFonts w:ascii="Calibri" w:eastAsia="Times New Roman" w:hAnsi="Calibri" w:cs="Times New Roman"/>
          <w:sz w:val="22"/>
          <w:szCs w:val="22"/>
          <w:lang w:eastAsia="fr-FR"/>
        </w:rPr>
      </w:pPr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 xml:space="preserve">Les dépôts doivent être effectués </w:t>
      </w:r>
      <w:r w:rsidRPr="00FA3959">
        <w:rPr>
          <w:rFonts w:ascii="Calibri" w:eastAsia="Times New Roman" w:hAnsi="Calibri" w:cs="Times New Roman"/>
          <w:b/>
          <w:bCs/>
          <w:sz w:val="22"/>
          <w:szCs w:val="22"/>
          <w:lang w:eastAsia="fr-FR"/>
        </w:rPr>
        <w:t xml:space="preserve">en mode réel </w:t>
      </w:r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 xml:space="preserve">sur la plateforme de test. Les déclarants sont toutefois invités à </w:t>
      </w:r>
      <w:r w:rsidR="00A7391C">
        <w:rPr>
          <w:rFonts w:ascii="Calibri" w:eastAsia="Times New Roman" w:hAnsi="Calibri" w:cs="Times New Roman"/>
          <w:sz w:val="22"/>
          <w:szCs w:val="22"/>
          <w:lang w:eastAsia="fr-FR"/>
        </w:rPr>
        <w:t>contrôl</w:t>
      </w:r>
      <w:r w:rsidR="00A7391C" w:rsidRPr="00FA3959">
        <w:rPr>
          <w:rFonts w:ascii="Calibri" w:eastAsia="Times New Roman" w:hAnsi="Calibri" w:cs="Times New Roman"/>
          <w:sz w:val="22"/>
          <w:szCs w:val="22"/>
          <w:lang w:eastAsia="fr-FR"/>
        </w:rPr>
        <w:t xml:space="preserve">er </w:t>
      </w:r>
      <w:r w:rsidR="00A7391C">
        <w:rPr>
          <w:rFonts w:ascii="Calibri" w:eastAsia="Times New Roman" w:hAnsi="Calibri" w:cs="Times New Roman"/>
          <w:sz w:val="22"/>
          <w:szCs w:val="22"/>
          <w:lang w:eastAsia="fr-FR"/>
        </w:rPr>
        <w:t>leurs déclarations</w:t>
      </w:r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 xml:space="preserve"> avec l’outil de contrôle DSN-VAL auparavant pour fiabiliser la qualité des D</w:t>
      </w:r>
      <w:r w:rsidRPr="00FA3959">
        <w:rPr>
          <w:rFonts w:ascii="Calibri" w:eastAsia="Times New Roman" w:hAnsi="Calibri" w:cs="Times New Roman"/>
          <w:sz w:val="22"/>
          <w:szCs w:val="22"/>
          <w:lang w:eastAsia="fr-FR"/>
        </w:rPr>
        <w:t>SN.</w:t>
      </w:r>
      <w:bookmarkStart w:id="0" w:name="_GoBack"/>
      <w:bookmarkEnd w:id="0"/>
    </w:p>
    <w:p w14:paraId="172794B2" w14:textId="2961057F" w:rsidR="00976149" w:rsidRDefault="00976149" w:rsidP="00976149">
      <w:pPr>
        <w:jc w:val="both"/>
        <w:rPr>
          <w:rFonts w:asciiTheme="majorHAnsi" w:hAnsiTheme="majorHAnsi" w:cs="Arial"/>
          <w:sz w:val="22"/>
          <w:szCs w:val="22"/>
        </w:rPr>
      </w:pPr>
    </w:p>
    <w:tbl>
      <w:tblPr>
        <w:tblStyle w:val="Grilledutableau1"/>
        <w:tblpPr w:leftFromText="141" w:rightFromText="141" w:vertAnchor="text" w:horzAnchor="margin" w:tblpY="-14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F355A4" w:rsidRPr="000B6D00" w14:paraId="25E29BA0" w14:textId="77777777" w:rsidTr="00290736">
        <w:trPr>
          <w:trHeight w:val="531"/>
        </w:trPr>
        <w:tc>
          <w:tcPr>
            <w:tcW w:w="2660" w:type="dxa"/>
            <w:shd w:val="clear" w:color="auto" w:fill="auto"/>
          </w:tcPr>
          <w:p w14:paraId="271BFB08" w14:textId="7E83515E" w:rsidR="00F355A4" w:rsidRPr="000B6D00" w:rsidRDefault="00F355A4" w:rsidP="00290736">
            <w:pPr>
              <w:spacing w:after="200"/>
              <w:rPr>
                <w:rFonts w:ascii="Calibri" w:hAnsi="Calibri" w:cs="Arial"/>
                <w:b/>
                <w:sz w:val="20"/>
                <w:szCs w:val="20"/>
              </w:rPr>
            </w:pPr>
            <w:r w:rsidRPr="000B6D00">
              <w:rPr>
                <w:rFonts w:ascii="Calibri" w:hAnsi="Calibri" w:cs="Times New Roman"/>
                <w:b/>
              </w:rPr>
              <w:t>Contacts presse :</w:t>
            </w:r>
            <w:r w:rsidRPr="000B6D0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0B6D00">
              <w:rPr>
                <w:rFonts w:ascii="Calibri" w:hAnsi="Calibri" w:cs="Arial"/>
                <w:b/>
                <w:sz w:val="20"/>
                <w:szCs w:val="20"/>
              </w:rPr>
              <w:br/>
            </w:r>
          </w:p>
          <w:p w14:paraId="777A22CB" w14:textId="77777777" w:rsidR="00F355A4" w:rsidRPr="000B6D00" w:rsidRDefault="00F355A4" w:rsidP="00290736">
            <w:pPr>
              <w:rPr>
                <w:rFonts w:ascii="Calibri" w:hAnsi="Calibri" w:cs="Times New Roman"/>
                <w:color w:val="FF0000"/>
                <w:sz w:val="20"/>
                <w:szCs w:val="20"/>
                <w:vertAlign w:val="superscript"/>
              </w:rPr>
            </w:pPr>
            <w:r w:rsidRPr="000B6D00">
              <w:rPr>
                <w:rFonts w:ascii="Calibri" w:hAnsi="Calibri" w:cs="Arial"/>
                <w:sz w:val="20"/>
                <w:szCs w:val="20"/>
              </w:rPr>
              <w:t xml:space="preserve">Wellcom : </w:t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</w:r>
            <w:hyperlink r:id="rId9" w:history="1">
              <w:r w:rsidRPr="000B6D00">
                <w:rPr>
                  <w:rFonts w:ascii="Calibri" w:hAnsi="Calibri" w:cs="Arial"/>
                  <w:color w:val="BD2634"/>
                  <w:sz w:val="20"/>
                  <w:szCs w:val="20"/>
                  <w:u w:val="single"/>
                </w:rPr>
                <w:t>Emeline Poulolo</w:t>
              </w:r>
            </w:hyperlink>
            <w:r w:rsidRPr="000B6D00">
              <w:rPr>
                <w:rFonts w:ascii="Calibri" w:hAnsi="Calibri" w:cs="Arial"/>
                <w:sz w:val="20"/>
                <w:szCs w:val="20"/>
              </w:rPr>
              <w:br/>
            </w:r>
            <w:hyperlink r:id="rId10" w:history="1">
              <w:r w:rsidRPr="000B6D00">
                <w:rPr>
                  <w:rFonts w:ascii="Calibri" w:hAnsi="Calibri" w:cs="Arial"/>
                  <w:color w:val="BD2634"/>
                  <w:sz w:val="20"/>
                  <w:szCs w:val="20"/>
                  <w:u w:val="single"/>
                </w:rPr>
                <w:t>Gaëlle Ryouq</w:t>
              </w:r>
            </w:hyperlink>
            <w:r w:rsidRPr="000B6D0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  <w:t xml:space="preserve">01 46 34 60 60 </w:t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  <w:t xml:space="preserve">GIP-MDS : </w:t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</w:r>
            <w:hyperlink r:id="rId11" w:history="1">
              <w:r w:rsidRPr="000B6D00">
                <w:rPr>
                  <w:rFonts w:ascii="Calibri" w:hAnsi="Calibri" w:cs="Arial"/>
                  <w:color w:val="BD2634"/>
                  <w:sz w:val="20"/>
                  <w:szCs w:val="20"/>
                  <w:u w:val="single"/>
                </w:rPr>
                <w:t>Marie-Amélie Roguet</w:t>
              </w:r>
            </w:hyperlink>
            <w:r w:rsidRPr="000B6D0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B6D00">
              <w:rPr>
                <w:rFonts w:ascii="Calibri" w:hAnsi="Calibri" w:cs="Arial"/>
                <w:sz w:val="20"/>
                <w:szCs w:val="20"/>
              </w:rPr>
              <w:br/>
              <w:t>01 58 10 47 28</w:t>
            </w:r>
            <w:r w:rsidRPr="000B6D0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6D00">
              <w:rPr>
                <w:rFonts w:ascii="Arial" w:hAnsi="Arial" w:cs="Arial"/>
                <w:color w:val="FF0000"/>
                <w:sz w:val="17"/>
                <w:szCs w:val="17"/>
              </w:rPr>
              <w:br/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12692AAF" w14:textId="28DABDD7" w:rsidR="00F355A4" w:rsidRPr="008E5592" w:rsidRDefault="00F355A4" w:rsidP="00E833D6">
            <w:pPr>
              <w:autoSpaceDE w:val="0"/>
              <w:autoSpaceDN w:val="0"/>
              <w:adjustRightInd w:val="0"/>
              <w:ind w:left="175"/>
              <w:rPr>
                <w:rFonts w:asciiTheme="majorHAnsi" w:eastAsiaTheme="minorHAnsi" w:hAnsiTheme="majorHAnsi" w:cs="Arial"/>
                <w:b/>
                <w:bCs/>
                <w:color w:val="244061" w:themeColor="accent1" w:themeShade="80"/>
              </w:rPr>
            </w:pPr>
            <w:r w:rsidRPr="008E5592">
              <w:rPr>
                <w:rFonts w:asciiTheme="majorHAnsi" w:eastAsiaTheme="minorHAnsi" w:hAnsiTheme="majorHAnsi" w:cs="Arial"/>
                <w:b/>
                <w:bCs/>
                <w:color w:val="244061" w:themeColor="accent1" w:themeShade="80"/>
              </w:rPr>
              <w:t xml:space="preserve">À propos du GIP-MDS </w:t>
            </w:r>
          </w:p>
          <w:p w14:paraId="679732A5" w14:textId="77777777" w:rsidR="00F355A4" w:rsidRPr="00F355A4" w:rsidRDefault="00F355A4" w:rsidP="00F355A4">
            <w:pPr>
              <w:autoSpaceDE w:val="0"/>
              <w:autoSpaceDN w:val="0"/>
              <w:adjustRightInd w:val="0"/>
              <w:ind w:left="175"/>
              <w:rPr>
                <w:rFonts w:asciiTheme="majorHAnsi" w:eastAsiaTheme="minorHAnsi" w:hAnsiTheme="majorHAnsi" w:cs="Arial"/>
                <w:b/>
                <w:bCs/>
                <w:color w:val="C00000"/>
              </w:rPr>
            </w:pPr>
          </w:p>
          <w:p w14:paraId="2E7ED130" w14:textId="77777777" w:rsidR="004D7D2B" w:rsidRPr="004D7D2B" w:rsidRDefault="004D7D2B" w:rsidP="004D7D2B">
            <w:pPr>
              <w:pStyle w:val="Default"/>
              <w:ind w:left="175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4D7D2B">
              <w:rPr>
                <w:rFonts w:cs="Arial"/>
                <w:color w:val="auto"/>
                <w:sz w:val="20"/>
                <w:szCs w:val="20"/>
              </w:rPr>
              <w:t>Créé par les organismes de protection sociale pour mutualiser leurs moyens et expertises en matière de dématérialisation, le Groupement d’intérêt public Modernisation des déclarations sociales (GIP-MDS) permet aux entreprises et à leurs mandataires d’effectuer leurs déclarations sociales en ligne de manière gratuite, simple et sécurisée via net-entreprises.fr.</w:t>
            </w:r>
          </w:p>
          <w:p w14:paraId="522BF1D5" w14:textId="77777777" w:rsidR="004D7D2B" w:rsidRPr="004D7D2B" w:rsidRDefault="004D7D2B" w:rsidP="004D7D2B">
            <w:pPr>
              <w:pStyle w:val="Default"/>
              <w:ind w:left="175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64F85505" w14:textId="4F567A48" w:rsidR="00F355A4" w:rsidRPr="00E833D6" w:rsidRDefault="004D7D2B" w:rsidP="00E833D6">
            <w:pPr>
              <w:pStyle w:val="Default"/>
              <w:ind w:left="175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4D7D2B">
              <w:rPr>
                <w:rFonts w:cs="Arial"/>
                <w:color w:val="auto"/>
                <w:sz w:val="20"/>
                <w:szCs w:val="20"/>
              </w:rPr>
              <w:t>Le GIP-MDS regroupe les organismes de protection sociale (</w:t>
            </w:r>
            <w:proofErr w:type="spellStart"/>
            <w:r w:rsidRPr="004D7D2B">
              <w:rPr>
                <w:rFonts w:cs="Arial"/>
                <w:color w:val="auto"/>
                <w:sz w:val="20"/>
                <w:szCs w:val="20"/>
              </w:rPr>
              <w:t>Acoss</w:t>
            </w:r>
            <w:proofErr w:type="spellEnd"/>
            <w:r w:rsidRPr="004D7D2B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D7D2B">
              <w:rPr>
                <w:rFonts w:cs="Arial"/>
                <w:color w:val="auto"/>
                <w:sz w:val="20"/>
                <w:szCs w:val="20"/>
              </w:rPr>
              <w:t>Agirc-Arrco</w:t>
            </w:r>
            <w:proofErr w:type="spellEnd"/>
            <w:r w:rsidRPr="004D7D2B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D7D2B">
              <w:rPr>
                <w:rFonts w:cs="Arial"/>
                <w:color w:val="auto"/>
                <w:sz w:val="20"/>
                <w:szCs w:val="20"/>
              </w:rPr>
              <w:t>Cnaf</w:t>
            </w:r>
            <w:proofErr w:type="spellEnd"/>
            <w:r w:rsidRPr="004D7D2B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D7D2B">
              <w:rPr>
                <w:rFonts w:cs="Arial"/>
                <w:color w:val="auto"/>
                <w:sz w:val="20"/>
                <w:szCs w:val="20"/>
              </w:rPr>
              <w:t>Cnam</w:t>
            </w:r>
            <w:proofErr w:type="spellEnd"/>
            <w:r w:rsidRPr="004D7D2B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4D7D2B">
              <w:rPr>
                <w:rFonts w:cs="Arial"/>
                <w:color w:val="auto"/>
                <w:sz w:val="20"/>
                <w:szCs w:val="20"/>
              </w:rPr>
              <w:t>Cnav</w:t>
            </w:r>
            <w:proofErr w:type="spellEnd"/>
            <w:r w:rsidRPr="004D7D2B">
              <w:rPr>
                <w:rFonts w:cs="Arial"/>
                <w:color w:val="auto"/>
                <w:sz w:val="20"/>
                <w:szCs w:val="20"/>
              </w:rPr>
              <w:t xml:space="preserve">, MSA, Pôle emploi, Sécurité sociale Indépendants, </w:t>
            </w:r>
            <w:proofErr w:type="spellStart"/>
            <w:r w:rsidRPr="004D7D2B">
              <w:rPr>
                <w:rFonts w:cs="Arial"/>
                <w:color w:val="auto"/>
                <w:sz w:val="20"/>
                <w:szCs w:val="20"/>
              </w:rPr>
              <w:t>Unédic</w:t>
            </w:r>
            <w:proofErr w:type="spellEnd"/>
            <w:r w:rsidRPr="004D7D2B">
              <w:rPr>
                <w:rFonts w:cs="Arial"/>
                <w:color w:val="auto"/>
                <w:sz w:val="20"/>
                <w:szCs w:val="20"/>
              </w:rPr>
              <w:t>, caisses spécifiques ou régimes spéciaux), des organismes de prévoyance collective (CTIP, FFA, FNMF) et, comme membres associés, les organisations patronales, des syndicats de salariés, les éditeurs de logiciels (</w:t>
            </w:r>
            <w:proofErr w:type="spellStart"/>
            <w:r w:rsidRPr="004D7D2B">
              <w:rPr>
                <w:rFonts w:cs="Arial"/>
                <w:color w:val="auto"/>
                <w:sz w:val="20"/>
                <w:szCs w:val="20"/>
              </w:rPr>
              <w:t>Syntec</w:t>
            </w:r>
            <w:proofErr w:type="spellEnd"/>
            <w:r w:rsidRPr="004D7D2B">
              <w:rPr>
                <w:rFonts w:cs="Arial"/>
                <w:color w:val="auto"/>
                <w:sz w:val="20"/>
                <w:szCs w:val="20"/>
              </w:rPr>
              <w:t xml:space="preserve"> numérique) et les experts-comptables (Conseil supérieur de l’Ordre des experts-comptables).</w:t>
            </w:r>
          </w:p>
        </w:tc>
      </w:tr>
      <w:tr w:rsidR="00F355A4" w:rsidRPr="000B6D00" w14:paraId="26C444DE" w14:textId="77777777" w:rsidTr="00290736">
        <w:trPr>
          <w:trHeight w:val="531"/>
        </w:trPr>
        <w:tc>
          <w:tcPr>
            <w:tcW w:w="2660" w:type="dxa"/>
            <w:shd w:val="clear" w:color="auto" w:fill="auto"/>
          </w:tcPr>
          <w:p w14:paraId="017917CE" w14:textId="77777777" w:rsidR="00F355A4" w:rsidRDefault="00F355A4" w:rsidP="00290736">
            <w:pPr>
              <w:rPr>
                <w:rFonts w:ascii="Calibri" w:hAnsi="Calibri" w:cs="Times New Roman"/>
                <w:sz w:val="20"/>
                <w:szCs w:val="20"/>
              </w:rPr>
            </w:pPr>
            <w:r w:rsidRPr="000B6D00">
              <w:rPr>
                <w:rFonts w:ascii="Calibri" w:hAnsi="Calibri" w:cs="Times New Roman"/>
                <w:noProof/>
                <w:color w:val="BD2634"/>
                <w:sz w:val="20"/>
                <w:szCs w:val="20"/>
              </w:rPr>
              <w:drawing>
                <wp:inline distT="0" distB="0" distL="0" distR="0" wp14:anchorId="27D76196" wp14:editId="0CC77B02">
                  <wp:extent cx="1304926" cy="434976"/>
                  <wp:effectExtent l="0" t="0" r="0" b="3175"/>
                  <wp:docPr id="3" name="Image 3" descr="\\wsrv8\Base_Icono\Wellcom\1. Logo\Nouvelle_identité - Novembre 2014\1. Wellcom\Logo_wellcom_2014_Q_baseline_petit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wsrv8\Base_Icono\Wellcom\1. Logo\Nouvelle_identité - Novembre 2014\1. Wellcom\Logo_wellcom_2014_Q_baseline_pet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30" cy="43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63FB6" w14:textId="3ECFC16E" w:rsidR="00F355A4" w:rsidRPr="000B6D00" w:rsidRDefault="00F355A4" w:rsidP="00290736">
            <w:pPr>
              <w:rPr>
                <w:rFonts w:ascii="Calibri" w:hAnsi="Calibri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39C71D85" w14:textId="77777777" w:rsidR="00F355A4" w:rsidRPr="000B6D00" w:rsidRDefault="00F355A4" w:rsidP="00290736">
            <w:pPr>
              <w:rPr>
                <w:rFonts w:ascii="Calibri" w:hAnsi="Calibri" w:cs="Times New Roman"/>
                <w:sz w:val="20"/>
                <w:szCs w:val="20"/>
                <w:vertAlign w:val="superscript"/>
              </w:rPr>
            </w:pPr>
          </w:p>
        </w:tc>
      </w:tr>
    </w:tbl>
    <w:p w14:paraId="7CAB57A5" w14:textId="77777777" w:rsidR="00F355A4" w:rsidRPr="00F355A4" w:rsidRDefault="00F355A4" w:rsidP="009E479F">
      <w:pPr>
        <w:rPr>
          <w:rFonts w:asciiTheme="majorHAnsi" w:hAnsiTheme="majorHAnsi"/>
          <w:b/>
        </w:rPr>
      </w:pPr>
    </w:p>
    <w:sectPr w:rsidR="00F355A4" w:rsidRPr="00F35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55F"/>
    <w:multiLevelType w:val="hybridMultilevel"/>
    <w:tmpl w:val="CC2EA3E4"/>
    <w:lvl w:ilvl="0" w:tplc="96188A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0C4"/>
    <w:multiLevelType w:val="hybridMultilevel"/>
    <w:tmpl w:val="C7CA07F0"/>
    <w:lvl w:ilvl="0" w:tplc="80025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0F70"/>
    <w:multiLevelType w:val="hybridMultilevel"/>
    <w:tmpl w:val="BC8496E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DA5200"/>
    <w:multiLevelType w:val="hybridMultilevel"/>
    <w:tmpl w:val="2430B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B3011"/>
    <w:multiLevelType w:val="hybridMultilevel"/>
    <w:tmpl w:val="E000F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7AE1"/>
    <w:multiLevelType w:val="hybridMultilevel"/>
    <w:tmpl w:val="C3CE4B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70EB0"/>
    <w:multiLevelType w:val="hybridMultilevel"/>
    <w:tmpl w:val="738AD3C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0C108C"/>
    <w:multiLevelType w:val="hybridMultilevel"/>
    <w:tmpl w:val="E0A0F7C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141E57"/>
    <w:multiLevelType w:val="hybridMultilevel"/>
    <w:tmpl w:val="3C5884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A3C11"/>
    <w:multiLevelType w:val="multilevel"/>
    <w:tmpl w:val="98684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D63369"/>
    <w:multiLevelType w:val="multilevel"/>
    <w:tmpl w:val="DEB09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E10160"/>
    <w:multiLevelType w:val="hybridMultilevel"/>
    <w:tmpl w:val="D75A18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EE"/>
    <w:rsid w:val="00010EC6"/>
    <w:rsid w:val="00014A86"/>
    <w:rsid w:val="00015148"/>
    <w:rsid w:val="0003179E"/>
    <w:rsid w:val="000529A5"/>
    <w:rsid w:val="000556FE"/>
    <w:rsid w:val="000638AD"/>
    <w:rsid w:val="00072B59"/>
    <w:rsid w:val="0007455E"/>
    <w:rsid w:val="00077FC7"/>
    <w:rsid w:val="000A06CA"/>
    <w:rsid w:val="000A0889"/>
    <w:rsid w:val="000A2D73"/>
    <w:rsid w:val="000A653E"/>
    <w:rsid w:val="000A7405"/>
    <w:rsid w:val="000B634D"/>
    <w:rsid w:val="000B7595"/>
    <w:rsid w:val="000C1D8B"/>
    <w:rsid w:val="000C5E53"/>
    <w:rsid w:val="00101A4B"/>
    <w:rsid w:val="00110345"/>
    <w:rsid w:val="001241A9"/>
    <w:rsid w:val="001316F5"/>
    <w:rsid w:val="0013227F"/>
    <w:rsid w:val="00143972"/>
    <w:rsid w:val="0014532D"/>
    <w:rsid w:val="00150A05"/>
    <w:rsid w:val="00151D56"/>
    <w:rsid w:val="001550FF"/>
    <w:rsid w:val="001714CC"/>
    <w:rsid w:val="00180F71"/>
    <w:rsid w:val="00186989"/>
    <w:rsid w:val="00187D14"/>
    <w:rsid w:val="00193B4B"/>
    <w:rsid w:val="001A18AE"/>
    <w:rsid w:val="001A7D88"/>
    <w:rsid w:val="001C348E"/>
    <w:rsid w:val="001E3A54"/>
    <w:rsid w:val="001F0A55"/>
    <w:rsid w:val="001F1FD4"/>
    <w:rsid w:val="001F2946"/>
    <w:rsid w:val="001F3F84"/>
    <w:rsid w:val="001F5500"/>
    <w:rsid w:val="00203834"/>
    <w:rsid w:val="00211B8B"/>
    <w:rsid w:val="00221C83"/>
    <w:rsid w:val="002227C9"/>
    <w:rsid w:val="0023335A"/>
    <w:rsid w:val="00236068"/>
    <w:rsid w:val="00236571"/>
    <w:rsid w:val="00254BC8"/>
    <w:rsid w:val="002750F6"/>
    <w:rsid w:val="0028068C"/>
    <w:rsid w:val="0028443C"/>
    <w:rsid w:val="00285340"/>
    <w:rsid w:val="0029442C"/>
    <w:rsid w:val="00296824"/>
    <w:rsid w:val="00296CAC"/>
    <w:rsid w:val="002A6CFC"/>
    <w:rsid w:val="002B5C00"/>
    <w:rsid w:val="002C3BC7"/>
    <w:rsid w:val="002C3CB8"/>
    <w:rsid w:val="002D7FB2"/>
    <w:rsid w:val="002E3FA7"/>
    <w:rsid w:val="002F077B"/>
    <w:rsid w:val="002F1642"/>
    <w:rsid w:val="0030222B"/>
    <w:rsid w:val="00315EB8"/>
    <w:rsid w:val="00320987"/>
    <w:rsid w:val="00321D3F"/>
    <w:rsid w:val="00350892"/>
    <w:rsid w:val="00354EF0"/>
    <w:rsid w:val="0036270D"/>
    <w:rsid w:val="00371673"/>
    <w:rsid w:val="00374EED"/>
    <w:rsid w:val="003A1449"/>
    <w:rsid w:val="003D0EF5"/>
    <w:rsid w:val="003E5F45"/>
    <w:rsid w:val="00400772"/>
    <w:rsid w:val="004076C6"/>
    <w:rsid w:val="0041367E"/>
    <w:rsid w:val="0042638B"/>
    <w:rsid w:val="00430A62"/>
    <w:rsid w:val="0043340F"/>
    <w:rsid w:val="00433A4D"/>
    <w:rsid w:val="004360BD"/>
    <w:rsid w:val="00447DA6"/>
    <w:rsid w:val="0045794B"/>
    <w:rsid w:val="00481E83"/>
    <w:rsid w:val="0048616F"/>
    <w:rsid w:val="0049487E"/>
    <w:rsid w:val="004972CE"/>
    <w:rsid w:val="004A2076"/>
    <w:rsid w:val="004B08E8"/>
    <w:rsid w:val="004B5B47"/>
    <w:rsid w:val="004D7D2B"/>
    <w:rsid w:val="004E53D3"/>
    <w:rsid w:val="004F2675"/>
    <w:rsid w:val="004F35A9"/>
    <w:rsid w:val="004F576C"/>
    <w:rsid w:val="00504A30"/>
    <w:rsid w:val="00526168"/>
    <w:rsid w:val="0054466C"/>
    <w:rsid w:val="005462E9"/>
    <w:rsid w:val="00552820"/>
    <w:rsid w:val="00557A43"/>
    <w:rsid w:val="00581202"/>
    <w:rsid w:val="00596D65"/>
    <w:rsid w:val="00596FA0"/>
    <w:rsid w:val="005A596F"/>
    <w:rsid w:val="005A5BB4"/>
    <w:rsid w:val="005A6BA5"/>
    <w:rsid w:val="005A7826"/>
    <w:rsid w:val="005B1275"/>
    <w:rsid w:val="005C6E58"/>
    <w:rsid w:val="005E0BB4"/>
    <w:rsid w:val="005E1465"/>
    <w:rsid w:val="005E1B77"/>
    <w:rsid w:val="005F7207"/>
    <w:rsid w:val="006135E7"/>
    <w:rsid w:val="00614A19"/>
    <w:rsid w:val="00615532"/>
    <w:rsid w:val="00621D51"/>
    <w:rsid w:val="00625D39"/>
    <w:rsid w:val="006415F2"/>
    <w:rsid w:val="006434EA"/>
    <w:rsid w:val="00660A2B"/>
    <w:rsid w:val="006671E4"/>
    <w:rsid w:val="00671F39"/>
    <w:rsid w:val="006743FE"/>
    <w:rsid w:val="00680C9A"/>
    <w:rsid w:val="0068740C"/>
    <w:rsid w:val="00691F59"/>
    <w:rsid w:val="006953AC"/>
    <w:rsid w:val="006B3895"/>
    <w:rsid w:val="006D1735"/>
    <w:rsid w:val="006D7FE9"/>
    <w:rsid w:val="006E063E"/>
    <w:rsid w:val="006F3C08"/>
    <w:rsid w:val="007038C8"/>
    <w:rsid w:val="0070739A"/>
    <w:rsid w:val="00707CE1"/>
    <w:rsid w:val="007245B5"/>
    <w:rsid w:val="00733217"/>
    <w:rsid w:val="00740847"/>
    <w:rsid w:val="007524CC"/>
    <w:rsid w:val="00754BF7"/>
    <w:rsid w:val="00761BA9"/>
    <w:rsid w:val="00774558"/>
    <w:rsid w:val="0077521A"/>
    <w:rsid w:val="007911CC"/>
    <w:rsid w:val="00797B41"/>
    <w:rsid w:val="007A68D9"/>
    <w:rsid w:val="007B47C0"/>
    <w:rsid w:val="007B6825"/>
    <w:rsid w:val="007B713D"/>
    <w:rsid w:val="007D11DB"/>
    <w:rsid w:val="007E3BEE"/>
    <w:rsid w:val="00806924"/>
    <w:rsid w:val="00807E5D"/>
    <w:rsid w:val="00834FED"/>
    <w:rsid w:val="00865837"/>
    <w:rsid w:val="00871DF5"/>
    <w:rsid w:val="00873CF0"/>
    <w:rsid w:val="00882849"/>
    <w:rsid w:val="00897AB9"/>
    <w:rsid w:val="008A5601"/>
    <w:rsid w:val="008B5C51"/>
    <w:rsid w:val="008C0832"/>
    <w:rsid w:val="008D18CE"/>
    <w:rsid w:val="008D50D8"/>
    <w:rsid w:val="008D61D2"/>
    <w:rsid w:val="008D70A8"/>
    <w:rsid w:val="008E5592"/>
    <w:rsid w:val="008F0098"/>
    <w:rsid w:val="008F3136"/>
    <w:rsid w:val="008F6784"/>
    <w:rsid w:val="008F6E0C"/>
    <w:rsid w:val="00915354"/>
    <w:rsid w:val="00921EE3"/>
    <w:rsid w:val="009346A4"/>
    <w:rsid w:val="00957D8D"/>
    <w:rsid w:val="00967FBF"/>
    <w:rsid w:val="00976149"/>
    <w:rsid w:val="0098795B"/>
    <w:rsid w:val="00990D31"/>
    <w:rsid w:val="009A5CA9"/>
    <w:rsid w:val="009B37AF"/>
    <w:rsid w:val="009B3A2F"/>
    <w:rsid w:val="009B56BE"/>
    <w:rsid w:val="009C1E56"/>
    <w:rsid w:val="009D3CD4"/>
    <w:rsid w:val="009E479F"/>
    <w:rsid w:val="00A10E13"/>
    <w:rsid w:val="00A147F2"/>
    <w:rsid w:val="00A14CE2"/>
    <w:rsid w:val="00A252CE"/>
    <w:rsid w:val="00A40BB9"/>
    <w:rsid w:val="00A5036C"/>
    <w:rsid w:val="00A51C65"/>
    <w:rsid w:val="00A7391C"/>
    <w:rsid w:val="00A80EFF"/>
    <w:rsid w:val="00A9687E"/>
    <w:rsid w:val="00AA6069"/>
    <w:rsid w:val="00AB7A2D"/>
    <w:rsid w:val="00AC5215"/>
    <w:rsid w:val="00AC7E2A"/>
    <w:rsid w:val="00AD219A"/>
    <w:rsid w:val="00AE0B6F"/>
    <w:rsid w:val="00AF2B16"/>
    <w:rsid w:val="00B05DA0"/>
    <w:rsid w:val="00B0744E"/>
    <w:rsid w:val="00B12163"/>
    <w:rsid w:val="00B13997"/>
    <w:rsid w:val="00B23E79"/>
    <w:rsid w:val="00B277EB"/>
    <w:rsid w:val="00B33DB6"/>
    <w:rsid w:val="00B33FC5"/>
    <w:rsid w:val="00B34C8E"/>
    <w:rsid w:val="00B54CCC"/>
    <w:rsid w:val="00B56DAD"/>
    <w:rsid w:val="00B70EC0"/>
    <w:rsid w:val="00B729FB"/>
    <w:rsid w:val="00B80430"/>
    <w:rsid w:val="00B85057"/>
    <w:rsid w:val="00BA48AD"/>
    <w:rsid w:val="00BB2DDE"/>
    <w:rsid w:val="00BB3979"/>
    <w:rsid w:val="00BD7649"/>
    <w:rsid w:val="00BF2401"/>
    <w:rsid w:val="00BF3922"/>
    <w:rsid w:val="00C02923"/>
    <w:rsid w:val="00C21508"/>
    <w:rsid w:val="00C23833"/>
    <w:rsid w:val="00C32AC8"/>
    <w:rsid w:val="00C41A9A"/>
    <w:rsid w:val="00C42C63"/>
    <w:rsid w:val="00C45336"/>
    <w:rsid w:val="00C501A2"/>
    <w:rsid w:val="00C56163"/>
    <w:rsid w:val="00C567A6"/>
    <w:rsid w:val="00C72338"/>
    <w:rsid w:val="00C77492"/>
    <w:rsid w:val="00C90B18"/>
    <w:rsid w:val="00CA3BA0"/>
    <w:rsid w:val="00CD0397"/>
    <w:rsid w:val="00CE681E"/>
    <w:rsid w:val="00D41706"/>
    <w:rsid w:val="00D45CF8"/>
    <w:rsid w:val="00D461BB"/>
    <w:rsid w:val="00D6217C"/>
    <w:rsid w:val="00D636D3"/>
    <w:rsid w:val="00D63C25"/>
    <w:rsid w:val="00D754A2"/>
    <w:rsid w:val="00D8724D"/>
    <w:rsid w:val="00D97C1A"/>
    <w:rsid w:val="00DA7CF8"/>
    <w:rsid w:val="00DE19F0"/>
    <w:rsid w:val="00DE5501"/>
    <w:rsid w:val="00DF67E5"/>
    <w:rsid w:val="00E024E0"/>
    <w:rsid w:val="00E211F1"/>
    <w:rsid w:val="00E22FB5"/>
    <w:rsid w:val="00E365C8"/>
    <w:rsid w:val="00E432A1"/>
    <w:rsid w:val="00E435C0"/>
    <w:rsid w:val="00E43772"/>
    <w:rsid w:val="00E510AB"/>
    <w:rsid w:val="00E635DD"/>
    <w:rsid w:val="00E833D6"/>
    <w:rsid w:val="00E954C1"/>
    <w:rsid w:val="00E974A3"/>
    <w:rsid w:val="00EA3C09"/>
    <w:rsid w:val="00EB2531"/>
    <w:rsid w:val="00EB6D12"/>
    <w:rsid w:val="00EC0393"/>
    <w:rsid w:val="00EC4C45"/>
    <w:rsid w:val="00ED203E"/>
    <w:rsid w:val="00EF04B2"/>
    <w:rsid w:val="00EF0BE1"/>
    <w:rsid w:val="00F11FB9"/>
    <w:rsid w:val="00F33AC6"/>
    <w:rsid w:val="00F355A4"/>
    <w:rsid w:val="00F356BB"/>
    <w:rsid w:val="00F37EF2"/>
    <w:rsid w:val="00F4421F"/>
    <w:rsid w:val="00F53BD1"/>
    <w:rsid w:val="00F6269C"/>
    <w:rsid w:val="00F65727"/>
    <w:rsid w:val="00F82EE8"/>
    <w:rsid w:val="00F83ED5"/>
    <w:rsid w:val="00F874FD"/>
    <w:rsid w:val="00F92320"/>
    <w:rsid w:val="00F9601C"/>
    <w:rsid w:val="00FA3959"/>
    <w:rsid w:val="00FB380F"/>
    <w:rsid w:val="00FB5302"/>
    <w:rsid w:val="00FB5FA0"/>
    <w:rsid w:val="00FD0AA9"/>
    <w:rsid w:val="00FD4590"/>
    <w:rsid w:val="00FE0A51"/>
    <w:rsid w:val="00FE3B20"/>
    <w:rsid w:val="00FF1451"/>
    <w:rsid w:val="00FF32E7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7447"/>
  <w15:docId w15:val="{A594255C-32B3-437A-88DA-6C452638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D8"/>
  </w:style>
  <w:style w:type="paragraph" w:styleId="Titre1">
    <w:name w:val="heading 1"/>
    <w:basedOn w:val="Normal"/>
    <w:next w:val="Normal"/>
    <w:link w:val="Titre1Car"/>
    <w:uiPriority w:val="9"/>
    <w:qFormat/>
    <w:rsid w:val="008D5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8D50D8"/>
    <w:rPr>
      <w:b/>
      <w:bCs/>
    </w:rPr>
  </w:style>
  <w:style w:type="character" w:styleId="Accentuation">
    <w:name w:val="Emphasis"/>
    <w:basedOn w:val="Policepardfaut"/>
    <w:uiPriority w:val="20"/>
    <w:qFormat/>
    <w:rsid w:val="008D50D8"/>
    <w:rPr>
      <w:i/>
      <w:iCs/>
    </w:rPr>
  </w:style>
  <w:style w:type="paragraph" w:styleId="Paragraphedeliste">
    <w:name w:val="List Paragraph"/>
    <w:basedOn w:val="Normal"/>
    <w:link w:val="ParagraphedelisteCar"/>
    <w:uiPriority w:val="34"/>
    <w:qFormat/>
    <w:rsid w:val="008D50D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D50D8"/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50D8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55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5A4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F355A4"/>
    <w:rPr>
      <w:rFonts w:eastAsia="Times New Roman"/>
      <w:sz w:val="22"/>
      <w:szCs w:val="22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55A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59"/>
    <w:rsid w:val="00F3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355A4"/>
    <w:rPr>
      <w:color w:val="0000FF" w:themeColor="hyperlink"/>
      <w:u w:val="single"/>
    </w:rPr>
  </w:style>
  <w:style w:type="paragraph" w:customStyle="1" w:styleId="m-708184310510608474msolistparagraph">
    <w:name w:val="m_-708184310510608474msolistparagraph"/>
    <w:basedOn w:val="Normal"/>
    <w:rsid w:val="005A78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s6">
    <w:name w:val="s6"/>
    <w:basedOn w:val="Normal"/>
    <w:rsid w:val="00EB6D12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fr-FR"/>
    </w:rPr>
  </w:style>
  <w:style w:type="character" w:customStyle="1" w:styleId="bumpedfont15">
    <w:name w:val="bumpedfont15"/>
    <w:basedOn w:val="Policepardfaut"/>
    <w:rsid w:val="00EB6D12"/>
  </w:style>
  <w:style w:type="character" w:customStyle="1" w:styleId="Mentionnonrsolue1">
    <w:name w:val="Mention non résolue1"/>
    <w:basedOn w:val="Policepardfaut"/>
    <w:uiPriority w:val="99"/>
    <w:semiHidden/>
    <w:unhideWhenUsed/>
    <w:rsid w:val="0054466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9232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232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232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232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2320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76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.net-entreprises.fr/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dsn-info.fr/documentation/notice-inscription-ptf-test.pdf" TargetMode="External"/><Relationship Id="rId12" Type="http://schemas.openxmlformats.org/officeDocument/2006/relationships/hyperlink" Target="http://www.wellcom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marieamelie.roguet@gip-md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aelle.ryouq@wellcom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eline.poulolo@wellcom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E861-8EAB-47EC-85DD-7F9956BF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Emeline Poulolo</dc:creator>
  <cp:lastModifiedBy>Marie Amelie ROGUET</cp:lastModifiedBy>
  <cp:revision>3</cp:revision>
  <cp:lastPrinted>2019-09-17T14:14:00Z</cp:lastPrinted>
  <dcterms:created xsi:type="dcterms:W3CDTF">2019-11-13T11:50:00Z</dcterms:created>
  <dcterms:modified xsi:type="dcterms:W3CDTF">2019-11-13T11:51:00Z</dcterms:modified>
</cp:coreProperties>
</file>